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B5063E" w:rsidP="00C23F81">
      <w:pPr>
        <w:pStyle w:val="BodyText"/>
        <w:ind w:left="142" w:right="250" w:hanging="142"/>
        <w:rPr>
          <w:sz w:val="20"/>
        </w:rPr>
      </w:pPr>
      <w:r>
        <w:rPr>
          <w:sz w:val="20"/>
        </w:rPr>
        <w:t xml:space="preserve">       </w:t>
      </w:r>
      <w:r w:rsidR="00C23F81">
        <w:rPr>
          <w:noProof/>
          <w:sz w:val="20"/>
          <w:lang w:val="en-IN" w:eastAsia="en-IN"/>
        </w:rPr>
        <w:drawing>
          <wp:inline distT="0" distB="0" distL="0" distR="0">
            <wp:extent cx="7184997" cy="954157"/>
            <wp:effectExtent l="0" t="0" r="0" b="0"/>
            <wp:docPr id="1" name="Picture 1" descr="C:\Users\clinicaltrial-minl\Desktop\eye images\header\Cardiologis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altrial-minl\Desktop\eye images\header\Cardiologist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85" cy="9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Pr="002950E7" w:rsidRDefault="00B5063E">
      <w:pPr>
        <w:pStyle w:val="Heading1"/>
        <w:ind w:left="1105" w:right="1062"/>
        <w:jc w:val="center"/>
        <w:rPr>
          <w:u w:val="single"/>
        </w:rPr>
      </w:pPr>
      <w:r w:rsidRPr="002950E7">
        <w:rPr>
          <w:color w:val="585858"/>
          <w:u w:val="single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 w:rsidP="002950E7">
      <w:pPr>
        <w:spacing w:before="92"/>
        <w:ind w:left="426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 w:rsidP="002950E7">
      <w:pPr>
        <w:pStyle w:val="Heading3"/>
        <w:spacing w:line="214" w:lineRule="exact"/>
        <w:ind w:left="426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8C3ACE" w:rsidRPr="00A26704" w:rsidRDefault="00B5063E" w:rsidP="002950E7">
      <w:pPr>
        <w:pStyle w:val="BodyText"/>
        <w:spacing w:before="126" w:line="231" w:lineRule="exact"/>
        <w:ind w:left="426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 w:rsidP="002950E7">
      <w:pPr>
        <w:pStyle w:val="BodyText"/>
        <w:spacing w:line="231" w:lineRule="exact"/>
        <w:ind w:left="426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 w:rsidSect="00C23F81">
          <w:type w:val="continuous"/>
          <w:pgSz w:w="11910" w:h="16840"/>
          <w:pgMar w:top="38" w:right="286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C23F81" w:rsidRDefault="00B5063E">
      <w:pPr>
        <w:pStyle w:val="BodyText"/>
        <w:ind w:left="316" w:right="1786"/>
        <w:rPr>
          <w:color w:val="585858"/>
        </w:rPr>
      </w:pPr>
      <w:r>
        <w:rPr>
          <w:color w:val="585858"/>
        </w:rPr>
        <w:t xml:space="preserve">Category: (Oral presentation/ Poster presentation) 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</w:pPr>
    </w:p>
    <w:p w:rsidR="00C23F81" w:rsidRDefault="00C23F81">
      <w:pPr>
        <w:rPr>
          <w:sz w:val="18"/>
        </w:rPr>
      </w:pPr>
    </w:p>
    <w:p w:rsidR="00C23F81" w:rsidRDefault="00C23F81">
      <w:pPr>
        <w:rPr>
          <w:sz w:val="18"/>
        </w:rPr>
      </w:pPr>
    </w:p>
    <w:p w:rsidR="00C23F81" w:rsidRDefault="00C23F81">
      <w:pPr>
        <w:rPr>
          <w:sz w:val="18"/>
        </w:rPr>
      </w:pPr>
    </w:p>
    <w:p w:rsidR="00C23F81" w:rsidRDefault="00C23F81">
      <w:pPr>
        <w:rPr>
          <w:sz w:val="18"/>
        </w:rPr>
      </w:pPr>
    </w:p>
    <w:p w:rsidR="00C23F81" w:rsidRDefault="00C23F81">
      <w:pPr>
        <w:rPr>
          <w:sz w:val="18"/>
        </w:rPr>
      </w:pPr>
    </w:p>
    <w:p w:rsidR="00C23F81" w:rsidRDefault="00C23F81">
      <w:pPr>
        <w:rPr>
          <w:sz w:val="18"/>
        </w:rPr>
        <w:sectPr w:rsidR="00C23F81" w:rsidSect="002950E7">
          <w:type w:val="continuous"/>
          <w:pgSz w:w="11910" w:h="16840"/>
          <w:pgMar w:top="142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A26704">
      <w:pPr>
        <w:pStyle w:val="BodyText"/>
        <w:rPr>
          <w:sz w:val="20"/>
        </w:rPr>
      </w:pPr>
      <w:r>
        <w:rPr>
          <w:noProof/>
          <w:sz w:val="5"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C67C6" wp14:editId="1B55D187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0.8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8C3ACE" w:rsidRPr="00C23F81" w:rsidRDefault="00D022B7" w:rsidP="00C23F81">
      <w:pPr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val="en-IN" w:eastAsia="en-IN"/>
        </w:rPr>
        <w:drawing>
          <wp:inline distT="0" distB="0" distL="0" distR="0">
            <wp:extent cx="7359650" cy="953871"/>
            <wp:effectExtent l="0" t="0" r="0" b="0"/>
            <wp:docPr id="8" name="Picture 8" descr="C:\Users\clinicaltrial-minl\Desktop\eye images\header\cardo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altrial-minl\Desktop\eye images\header\cardo foo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9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ACE" w:rsidRPr="00C23F81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2950E7"/>
    <w:rsid w:val="00396688"/>
    <w:rsid w:val="0054257F"/>
    <w:rsid w:val="0058095B"/>
    <w:rsid w:val="0063723D"/>
    <w:rsid w:val="007478F5"/>
    <w:rsid w:val="007D6D05"/>
    <w:rsid w:val="008C3ACE"/>
    <w:rsid w:val="00935715"/>
    <w:rsid w:val="009C003C"/>
    <w:rsid w:val="009D7910"/>
    <w:rsid w:val="009F3FAE"/>
    <w:rsid w:val="00A26704"/>
    <w:rsid w:val="00B5063E"/>
    <w:rsid w:val="00C23F81"/>
    <w:rsid w:val="00D022B7"/>
    <w:rsid w:val="00D0449E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Clinical Trial Minl</cp:lastModifiedBy>
  <cp:revision>22</cp:revision>
  <dcterms:created xsi:type="dcterms:W3CDTF">2018-02-05T12:50:00Z</dcterms:created>
  <dcterms:modified xsi:type="dcterms:W3CDTF">2019-05-04T08:24:00Z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