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07" w:rsidRPr="0005164C" w:rsidRDefault="00C37707" w:rsidP="00C37707">
      <w:pPr>
        <w:rPr>
          <w:rFonts w:eastAsia="MS Mincho"/>
          <w:b/>
          <w:sz w:val="22"/>
          <w:szCs w:val="22"/>
          <w:u w:val="single"/>
        </w:rPr>
      </w:pPr>
      <w:r w:rsidRPr="0005164C">
        <w:rPr>
          <w:rFonts w:eastAsia="MS Mincho"/>
          <w:b/>
          <w:sz w:val="22"/>
          <w:szCs w:val="22"/>
          <w:u w:val="single"/>
        </w:rPr>
        <w:t>Abstract Template</w:t>
      </w:r>
    </w:p>
    <w:p w:rsidR="00C37707" w:rsidRDefault="00C37707" w:rsidP="00C37707">
      <w:pPr>
        <w:pStyle w:val="Author"/>
        <w:rPr>
          <w:rFonts w:eastAsia="MS Mincho"/>
          <w:sz w:val="18"/>
          <w:szCs w:val="18"/>
        </w:rPr>
      </w:pPr>
    </w:p>
    <w:p w:rsidR="00C37707" w:rsidRPr="0005164C" w:rsidRDefault="00C37707" w:rsidP="00C37707">
      <w:pPr>
        <w:pStyle w:val="Author"/>
        <w:rPr>
          <w:rFonts w:eastAsia="MS Mincho"/>
          <w:sz w:val="18"/>
          <w:szCs w:val="18"/>
        </w:rPr>
        <w:sectPr w:rsidR="00C37707" w:rsidRPr="0005164C" w:rsidSect="006C4648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C37707" w:rsidRPr="009D49B8" w:rsidRDefault="00C37707" w:rsidP="00C37707">
      <w:pPr>
        <w:jc w:val="both"/>
        <w:rPr>
          <w:rFonts w:eastAsia="MS PGothic"/>
          <w:b/>
          <w:color w:val="000000"/>
          <w:sz w:val="22"/>
          <w:szCs w:val="22"/>
        </w:rPr>
      </w:pPr>
      <w:r w:rsidRPr="009D49B8">
        <w:rPr>
          <w:rFonts w:eastAsia="MS PGothic"/>
          <w:b/>
          <w:color w:val="000000"/>
          <w:sz w:val="22"/>
          <w:szCs w:val="22"/>
        </w:rPr>
        <w:lastRenderedPageBreak/>
        <w:t xml:space="preserve">Title: </w:t>
      </w:r>
      <w:r w:rsidR="00B83D98">
        <w:rPr>
          <w:rFonts w:eastAsia="MS PGothic"/>
          <w:b/>
          <w:color w:val="000000"/>
          <w:sz w:val="22"/>
          <w:szCs w:val="22"/>
        </w:rPr>
        <w:t>Neuroscience, Therapeutic</w:t>
      </w:r>
      <w:r w:rsidR="00790C99">
        <w:rPr>
          <w:rFonts w:eastAsia="MS PGothic"/>
          <w:b/>
          <w:color w:val="000000"/>
          <w:sz w:val="22"/>
          <w:szCs w:val="22"/>
        </w:rPr>
        <w:t>s</w:t>
      </w:r>
      <w:r w:rsidR="00B83D98">
        <w:rPr>
          <w:rFonts w:eastAsia="MS PGothic"/>
          <w:b/>
          <w:color w:val="000000"/>
          <w:sz w:val="22"/>
          <w:szCs w:val="22"/>
        </w:rPr>
        <w:t xml:space="preserve"> and Neuropsychological Assessment</w:t>
      </w:r>
    </w:p>
    <w:p w:rsidR="00C37707" w:rsidRPr="009D49B8" w:rsidRDefault="00C37707" w:rsidP="00C37707">
      <w:pPr>
        <w:jc w:val="both"/>
        <w:rPr>
          <w:rFonts w:eastAsia="MS PGothic"/>
          <w:color w:val="000000"/>
          <w:sz w:val="22"/>
          <w:szCs w:val="22"/>
        </w:rPr>
      </w:pPr>
    </w:p>
    <w:p w:rsidR="00C37707" w:rsidRPr="003C0794" w:rsidRDefault="00356795" w:rsidP="00C37707">
      <w:pPr>
        <w:shd w:val="clear" w:color="auto" w:fill="FFFFFF"/>
        <w:spacing w:after="150"/>
        <w:jc w:val="both"/>
        <w:rPr>
          <w:sz w:val="19"/>
          <w:szCs w:val="19"/>
          <w:lang w:val="en-IN" w:eastAsia="en-IN"/>
        </w:rPr>
      </w:pPr>
      <w:r>
        <w:rPr>
          <w:b/>
          <w:bCs/>
          <w:sz w:val="19"/>
          <w:szCs w:val="19"/>
          <w:lang w:val="en-IN" w:eastAsia="en-IN"/>
        </w:rPr>
        <w:t>Dr. BAJRANGI YADAV</w:t>
      </w:r>
      <w:hyperlink r:id="rId5" w:anchor="a1" w:history="1">
        <w:r w:rsidR="00C37707" w:rsidRPr="0005164C">
          <w:rPr>
            <w:b/>
            <w:bCs/>
            <w:sz w:val="19"/>
            <w:szCs w:val="19"/>
            <w:vertAlign w:val="superscript"/>
            <w:lang w:val="en-IN" w:eastAsia="en-IN"/>
          </w:rPr>
          <w:t>1</w:t>
        </w:r>
      </w:hyperlink>
    </w:p>
    <w:p w:rsidR="00C37707" w:rsidRPr="00351E9B" w:rsidRDefault="00C37707" w:rsidP="00C37707">
      <w:pPr>
        <w:shd w:val="clear" w:color="auto" w:fill="FFFFFF"/>
        <w:jc w:val="both"/>
        <w:rPr>
          <w:sz w:val="19"/>
          <w:szCs w:val="19"/>
          <w:lang w:val="en-IN" w:eastAsia="en-IN"/>
        </w:rPr>
      </w:pPr>
      <w:r w:rsidRPr="00351E9B">
        <w:rPr>
          <w:sz w:val="19"/>
          <w:szCs w:val="19"/>
          <w:vertAlign w:val="superscript"/>
          <w:lang w:val="en-IN" w:eastAsia="en-IN"/>
        </w:rPr>
        <w:t>1</w:t>
      </w:r>
      <w:bookmarkStart w:id="0" w:name="a1"/>
      <w:bookmarkEnd w:id="0"/>
      <w:r w:rsidR="00356795">
        <w:rPr>
          <w:sz w:val="19"/>
          <w:szCs w:val="19"/>
          <w:lang w:val="en-IN" w:eastAsia="en-IN"/>
        </w:rPr>
        <w:t xml:space="preserve"> Assistant</w:t>
      </w:r>
      <w:r w:rsidR="00297289">
        <w:rPr>
          <w:sz w:val="19"/>
          <w:szCs w:val="19"/>
          <w:lang w:val="en-IN" w:eastAsia="en-IN"/>
        </w:rPr>
        <w:t xml:space="preserve"> Professor</w:t>
      </w:r>
      <w:r w:rsidR="00356795">
        <w:rPr>
          <w:sz w:val="19"/>
          <w:szCs w:val="19"/>
          <w:lang w:val="en-IN" w:eastAsia="en-IN"/>
        </w:rPr>
        <w:t xml:space="preserve"> of </w:t>
      </w:r>
      <w:r w:rsidR="00356795" w:rsidRPr="00157AEB">
        <w:rPr>
          <w:b/>
          <w:sz w:val="19"/>
          <w:szCs w:val="19"/>
          <w:lang w:val="en-IN" w:eastAsia="en-IN"/>
        </w:rPr>
        <w:t>PSYCHOLOGY</w:t>
      </w:r>
      <w:r w:rsidR="00356795">
        <w:rPr>
          <w:sz w:val="19"/>
          <w:szCs w:val="19"/>
          <w:lang w:val="en-IN" w:eastAsia="en-IN"/>
        </w:rPr>
        <w:t>, D</w:t>
      </w:r>
      <w:r w:rsidRPr="00351E9B">
        <w:rPr>
          <w:sz w:val="19"/>
          <w:szCs w:val="19"/>
          <w:lang w:val="en-IN" w:eastAsia="en-IN"/>
        </w:rPr>
        <w:t xml:space="preserve">epartment of </w:t>
      </w:r>
      <w:r w:rsidR="00356795" w:rsidRPr="00157AEB">
        <w:rPr>
          <w:b/>
          <w:sz w:val="19"/>
          <w:szCs w:val="19"/>
          <w:lang w:val="en-IN" w:eastAsia="en-IN"/>
        </w:rPr>
        <w:t>PSYCHOLOGY</w:t>
      </w:r>
      <w:r w:rsidRPr="00351E9B">
        <w:rPr>
          <w:sz w:val="19"/>
          <w:szCs w:val="19"/>
          <w:lang w:val="en-IN" w:eastAsia="en-IN"/>
        </w:rPr>
        <w:t xml:space="preserve">, </w:t>
      </w:r>
      <w:r w:rsidR="00356795">
        <w:rPr>
          <w:sz w:val="19"/>
          <w:szCs w:val="19"/>
          <w:lang w:val="en-IN" w:eastAsia="en-IN"/>
        </w:rPr>
        <w:t>Kamla Nehru</w:t>
      </w:r>
      <w:r w:rsidRPr="00351E9B">
        <w:rPr>
          <w:sz w:val="19"/>
          <w:szCs w:val="19"/>
          <w:lang w:val="en-IN" w:eastAsia="en-IN"/>
        </w:rPr>
        <w:t xml:space="preserve"> Institute</w:t>
      </w:r>
      <w:r w:rsidR="00356795">
        <w:rPr>
          <w:sz w:val="19"/>
          <w:szCs w:val="19"/>
          <w:lang w:val="en-IN" w:eastAsia="en-IN"/>
        </w:rPr>
        <w:t xml:space="preserve"> (KNI)</w:t>
      </w:r>
      <w:r w:rsidRPr="00351E9B">
        <w:rPr>
          <w:sz w:val="19"/>
          <w:szCs w:val="19"/>
          <w:lang w:val="en-IN" w:eastAsia="en-IN"/>
        </w:rPr>
        <w:t xml:space="preserve">, </w:t>
      </w:r>
      <w:r w:rsidR="00356795">
        <w:rPr>
          <w:sz w:val="19"/>
          <w:szCs w:val="19"/>
          <w:lang w:val="en-IN" w:eastAsia="en-IN"/>
        </w:rPr>
        <w:t>Sultanpur</w:t>
      </w:r>
      <w:r w:rsidRPr="00351E9B">
        <w:rPr>
          <w:sz w:val="19"/>
          <w:szCs w:val="19"/>
          <w:lang w:val="en-IN" w:eastAsia="en-IN"/>
        </w:rPr>
        <w:t xml:space="preserve">, </w:t>
      </w:r>
      <w:r w:rsidR="00356795">
        <w:rPr>
          <w:sz w:val="19"/>
          <w:szCs w:val="19"/>
          <w:lang w:val="en-IN" w:eastAsia="en-IN"/>
        </w:rPr>
        <w:t>U.P.-INDIA.</w:t>
      </w:r>
    </w:p>
    <w:p w:rsidR="00C37707" w:rsidRPr="00351E9B" w:rsidRDefault="00C37707" w:rsidP="00C37707">
      <w:pPr>
        <w:rPr>
          <w:rFonts w:eastAsia="MS Mincho"/>
          <w:sz w:val="19"/>
          <w:szCs w:val="19"/>
        </w:rPr>
      </w:pPr>
    </w:p>
    <w:p w:rsidR="00C37707" w:rsidRPr="0005164C" w:rsidRDefault="00C37707" w:rsidP="00C37707">
      <w:pPr>
        <w:rPr>
          <w:rFonts w:eastAsia="MS Mincho"/>
          <w:sz w:val="19"/>
          <w:szCs w:val="19"/>
        </w:rPr>
      </w:pPr>
    </w:p>
    <w:p w:rsidR="00C37707" w:rsidRDefault="00C37707" w:rsidP="00C37707">
      <w:pPr>
        <w:jc w:val="both"/>
        <w:rPr>
          <w:rFonts w:eastAsia="MS Mincho"/>
          <w:sz w:val="19"/>
          <w:szCs w:val="19"/>
        </w:rPr>
      </w:pPr>
    </w:p>
    <w:p w:rsidR="00C37707" w:rsidRPr="0005164C" w:rsidRDefault="00C37707" w:rsidP="00C37707">
      <w:pPr>
        <w:jc w:val="both"/>
        <w:rPr>
          <w:rFonts w:eastAsia="MS Mincho"/>
          <w:sz w:val="19"/>
          <w:szCs w:val="19"/>
        </w:rPr>
        <w:sectPr w:rsidR="00C37707" w:rsidRPr="0005164C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C37707" w:rsidRPr="00062860" w:rsidRDefault="00C37707" w:rsidP="00C37707">
      <w:pPr>
        <w:pStyle w:val="keywords"/>
        <w:ind w:firstLine="0"/>
        <w:rPr>
          <w:bCs w:val="0"/>
          <w:i w:val="0"/>
          <w:iCs w:val="0"/>
          <w:noProof w:val="0"/>
          <w:sz w:val="19"/>
          <w:szCs w:val="19"/>
          <w:lang w:val="en-IN" w:eastAsia="en-IN"/>
        </w:rPr>
      </w:pPr>
      <w:r>
        <w:rPr>
          <w:bCs w:val="0"/>
          <w:i w:val="0"/>
          <w:iCs w:val="0"/>
          <w:noProof w:val="0"/>
          <w:sz w:val="19"/>
          <w:szCs w:val="19"/>
          <w:lang w:val="en-IN" w:eastAsia="en-IN"/>
        </w:rPr>
        <w:lastRenderedPageBreak/>
        <w:t>Keywords:</w:t>
      </w:r>
      <w:r w:rsidR="00062860">
        <w:rPr>
          <w:bCs w:val="0"/>
          <w:i w:val="0"/>
          <w:iCs w:val="0"/>
          <w:noProof w:val="0"/>
          <w:sz w:val="19"/>
          <w:szCs w:val="19"/>
          <w:lang w:val="en-IN" w:eastAsia="en-IN"/>
        </w:rPr>
        <w:t xml:space="preserve"> </w:t>
      </w:r>
      <w:r w:rsidR="00062860" w:rsidRPr="00062860">
        <w:rPr>
          <w:rFonts w:eastAsia="MS PGothic"/>
          <w:i w:val="0"/>
          <w:color w:val="000000"/>
          <w:sz w:val="22"/>
          <w:szCs w:val="22"/>
        </w:rPr>
        <w:t>Neuroscience, Therapeutic</w:t>
      </w:r>
      <w:r w:rsidR="00062860">
        <w:rPr>
          <w:rFonts w:eastAsia="MS PGothic"/>
          <w:i w:val="0"/>
          <w:color w:val="000000"/>
          <w:sz w:val="22"/>
          <w:szCs w:val="22"/>
        </w:rPr>
        <w:t>s</w:t>
      </w:r>
      <w:r w:rsidR="00062860" w:rsidRPr="00062860">
        <w:rPr>
          <w:rFonts w:eastAsia="MS PGothic"/>
          <w:i w:val="0"/>
          <w:color w:val="000000"/>
          <w:sz w:val="22"/>
          <w:szCs w:val="22"/>
        </w:rPr>
        <w:t xml:space="preserve"> and Neuropsycholog</w:t>
      </w:r>
      <w:r w:rsidR="00062860">
        <w:rPr>
          <w:rFonts w:eastAsia="MS PGothic"/>
          <w:i w:val="0"/>
          <w:color w:val="000000"/>
          <w:sz w:val="22"/>
          <w:szCs w:val="22"/>
        </w:rPr>
        <w:t>y, Psychotherapy.</w:t>
      </w:r>
    </w:p>
    <w:p w:rsidR="00C37707" w:rsidRPr="0005164C" w:rsidRDefault="00C37707" w:rsidP="00C37707">
      <w:pPr>
        <w:pStyle w:val="keywords"/>
        <w:ind w:firstLine="0"/>
        <w:rPr>
          <w:b w:val="0"/>
          <w:bCs w:val="0"/>
          <w:i w:val="0"/>
          <w:iCs w:val="0"/>
          <w:noProof w:val="0"/>
          <w:sz w:val="19"/>
          <w:szCs w:val="19"/>
          <w:lang w:val="en-IN" w:eastAsia="en-IN"/>
        </w:rPr>
      </w:pPr>
    </w:p>
    <w:p w:rsidR="00C37707" w:rsidRPr="0005164C" w:rsidRDefault="00C37707" w:rsidP="00C37707">
      <w:pPr>
        <w:pStyle w:val="keywords"/>
        <w:numPr>
          <w:ilvl w:val="0"/>
          <w:numId w:val="2"/>
        </w:numPr>
        <w:rPr>
          <w:bCs w:val="0"/>
          <w:i w:val="0"/>
          <w:iCs w:val="0"/>
          <w:noProof w:val="0"/>
          <w:sz w:val="19"/>
          <w:szCs w:val="19"/>
          <w:lang w:val="en-IN" w:eastAsia="en-IN"/>
        </w:rPr>
      </w:pPr>
      <w:r w:rsidRPr="0005164C">
        <w:rPr>
          <w:bCs w:val="0"/>
          <w:i w:val="0"/>
          <w:iCs w:val="0"/>
          <w:noProof w:val="0"/>
          <w:sz w:val="19"/>
          <w:szCs w:val="19"/>
          <w:lang w:val="en-IN" w:eastAsia="en-IN"/>
        </w:rPr>
        <w:t>Abstract Body (up to 250 words)</w:t>
      </w:r>
    </w:p>
    <w:p w:rsidR="00C37707" w:rsidRDefault="009C7C49" w:rsidP="00C37707">
      <w:pPr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ab/>
      </w:r>
      <w:r w:rsidR="00C37707" w:rsidRPr="00883A50">
        <w:rPr>
          <w:sz w:val="19"/>
          <w:szCs w:val="19"/>
          <w:lang w:val="en-IN" w:eastAsia="en-IN"/>
        </w:rPr>
        <w:t xml:space="preserve">The present study investigated </w:t>
      </w:r>
      <w:r w:rsidR="00752CB7">
        <w:rPr>
          <w:sz w:val="19"/>
          <w:szCs w:val="19"/>
          <w:lang w:val="en-IN" w:eastAsia="en-IN"/>
        </w:rPr>
        <w:t xml:space="preserve">the therapeutic relationship evolves </w:t>
      </w:r>
      <w:r w:rsidR="0025334C">
        <w:rPr>
          <w:sz w:val="19"/>
          <w:szCs w:val="19"/>
          <w:lang w:val="en-IN" w:eastAsia="en-IN"/>
        </w:rPr>
        <w:t xml:space="preserve">out of what both client and therapist bring to the therapeutic situation. </w:t>
      </w:r>
      <w:r w:rsidR="00020423">
        <w:rPr>
          <w:sz w:val="19"/>
          <w:szCs w:val="19"/>
          <w:lang w:val="en-IN" w:eastAsia="en-IN"/>
        </w:rPr>
        <w:t xml:space="preserve">The outcome of psychotherapy normally depends on whether the </w:t>
      </w:r>
      <w:r w:rsidR="004C5251">
        <w:rPr>
          <w:sz w:val="19"/>
          <w:szCs w:val="19"/>
          <w:lang w:val="en-IN" w:eastAsia="en-IN"/>
        </w:rPr>
        <w:t xml:space="preserve">client and therapist on successful </w:t>
      </w:r>
      <w:r w:rsidR="00471261">
        <w:rPr>
          <w:sz w:val="19"/>
          <w:szCs w:val="19"/>
          <w:lang w:val="en-IN" w:eastAsia="en-IN"/>
        </w:rPr>
        <w:t xml:space="preserve">in achieving a productive working alliance. The client’s major contribution is his or here </w:t>
      </w:r>
      <w:r>
        <w:rPr>
          <w:sz w:val="19"/>
          <w:szCs w:val="19"/>
          <w:lang w:val="en-IN" w:eastAsia="en-IN"/>
        </w:rPr>
        <w:t xml:space="preserve">motivation. Client who are pessimistic about there chances of recovering or who are ambivalent about dealing with their problems and symptoms respond less well to treatment. </w:t>
      </w:r>
    </w:p>
    <w:p w:rsidR="00875A7A" w:rsidRDefault="00875A7A" w:rsidP="00C37707">
      <w:pPr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ab/>
        <w:t xml:space="preserve">Measuring Success in Psychotherapy- </w:t>
      </w:r>
      <w:r w:rsidR="00D14D43">
        <w:rPr>
          <w:sz w:val="19"/>
          <w:szCs w:val="19"/>
          <w:lang w:val="en-IN" w:eastAsia="en-IN"/>
        </w:rPr>
        <w:t xml:space="preserve">Evaluating treatment success is not always as easy as it </w:t>
      </w:r>
      <w:r w:rsidR="007918E8">
        <w:rPr>
          <w:sz w:val="19"/>
          <w:szCs w:val="19"/>
          <w:lang w:val="en-IN" w:eastAsia="en-IN"/>
        </w:rPr>
        <w:t xml:space="preserve">might seem. </w:t>
      </w:r>
      <w:r w:rsidR="00200438">
        <w:rPr>
          <w:sz w:val="19"/>
          <w:szCs w:val="19"/>
          <w:lang w:val="en-IN" w:eastAsia="en-IN"/>
        </w:rPr>
        <w:t xml:space="preserve">Attempts at estimating clients’ </w:t>
      </w:r>
      <w:r w:rsidR="00F714A7">
        <w:rPr>
          <w:sz w:val="19"/>
          <w:szCs w:val="19"/>
          <w:lang w:val="en-IN" w:eastAsia="en-IN"/>
        </w:rPr>
        <w:t xml:space="preserve">gain a therapy generally depend on one or more of the following </w:t>
      </w:r>
      <w:r w:rsidR="009146DA">
        <w:rPr>
          <w:sz w:val="19"/>
          <w:szCs w:val="19"/>
          <w:lang w:val="en-IN" w:eastAsia="en-IN"/>
        </w:rPr>
        <w:t>sources of information’s:</w:t>
      </w:r>
      <w:r w:rsidR="00F714A7">
        <w:rPr>
          <w:sz w:val="19"/>
          <w:szCs w:val="19"/>
          <w:lang w:val="en-IN" w:eastAsia="en-IN"/>
        </w:rPr>
        <w:t>-</w:t>
      </w:r>
    </w:p>
    <w:p w:rsidR="00F714A7" w:rsidRDefault="00B71F3D" w:rsidP="00B71F3D">
      <w:pPr>
        <w:pStyle w:val="ListParagraph"/>
        <w:numPr>
          <w:ilvl w:val="0"/>
          <w:numId w:val="4"/>
        </w:numPr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 xml:space="preserve">A therapist’s </w:t>
      </w:r>
      <w:r w:rsidR="009146DA">
        <w:rPr>
          <w:sz w:val="19"/>
          <w:szCs w:val="19"/>
          <w:lang w:val="en-IN" w:eastAsia="en-IN"/>
        </w:rPr>
        <w:t>impr</w:t>
      </w:r>
      <w:r w:rsidR="00D1047F">
        <w:rPr>
          <w:sz w:val="19"/>
          <w:szCs w:val="19"/>
          <w:lang w:val="en-IN" w:eastAsia="en-IN"/>
        </w:rPr>
        <w:t>ession of changes that occurred.</w:t>
      </w:r>
    </w:p>
    <w:p w:rsidR="00D1047F" w:rsidRDefault="00D1047F" w:rsidP="00B71F3D">
      <w:pPr>
        <w:pStyle w:val="ListParagraph"/>
        <w:numPr>
          <w:ilvl w:val="0"/>
          <w:numId w:val="4"/>
        </w:numPr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>A client’s reports of change.</w:t>
      </w:r>
    </w:p>
    <w:p w:rsidR="00D1047F" w:rsidRDefault="00D1047F" w:rsidP="00B71F3D">
      <w:pPr>
        <w:pStyle w:val="ListParagraph"/>
        <w:numPr>
          <w:ilvl w:val="0"/>
          <w:numId w:val="4"/>
        </w:numPr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>Reports from the client’s family or friends.</w:t>
      </w:r>
    </w:p>
    <w:p w:rsidR="00D1047F" w:rsidRDefault="00D1047F" w:rsidP="00B71F3D">
      <w:pPr>
        <w:pStyle w:val="ListParagraph"/>
        <w:numPr>
          <w:ilvl w:val="0"/>
          <w:numId w:val="4"/>
        </w:numPr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 xml:space="preserve">Comparison of pre-treatment and post-treatment scores on personality. </w:t>
      </w:r>
    </w:p>
    <w:p w:rsidR="005621BE" w:rsidRDefault="00D1047F" w:rsidP="0054258D">
      <w:pPr>
        <w:pStyle w:val="ListParagraph"/>
        <w:numPr>
          <w:ilvl w:val="0"/>
          <w:numId w:val="4"/>
        </w:numPr>
        <w:ind w:left="0" w:firstLine="360"/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 xml:space="preserve">Measure of change in selected over behaviours. </w:t>
      </w:r>
    </w:p>
    <w:p w:rsidR="0054258D" w:rsidRDefault="00D1047F" w:rsidP="0054258D">
      <w:pPr>
        <w:pStyle w:val="ListParagraph"/>
        <w:numPr>
          <w:ilvl w:val="0"/>
          <w:numId w:val="4"/>
        </w:numPr>
        <w:ind w:left="0" w:firstLine="360"/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 xml:space="preserve">Unfortunate, each of these sources has own limitations. </w:t>
      </w:r>
    </w:p>
    <w:p w:rsidR="008028DA" w:rsidRDefault="0054258D" w:rsidP="0054258D">
      <w:pPr>
        <w:pStyle w:val="ListParagraph"/>
        <w:ind w:left="0"/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ab/>
      </w:r>
      <w:r w:rsidR="008028DA" w:rsidRPr="0054258D">
        <w:rPr>
          <w:sz w:val="19"/>
          <w:szCs w:val="19"/>
          <w:lang w:val="en-IN" w:eastAsia="en-IN"/>
        </w:rPr>
        <w:t xml:space="preserve">The Neuropsychological Assessment:- </w:t>
      </w:r>
      <w:r w:rsidR="001D69CB" w:rsidRPr="0054258D">
        <w:rPr>
          <w:sz w:val="19"/>
          <w:szCs w:val="19"/>
          <w:lang w:val="en-IN" w:eastAsia="en-IN"/>
        </w:rPr>
        <w:t xml:space="preserve">Neuropsychological assessment  </w:t>
      </w:r>
      <w:r w:rsidR="003D0274" w:rsidRPr="0054258D">
        <w:rPr>
          <w:sz w:val="19"/>
          <w:szCs w:val="19"/>
          <w:lang w:val="en-IN" w:eastAsia="en-IN"/>
        </w:rPr>
        <w:t xml:space="preserve">is the process of gathering information about the client’s brain functioning on the basis of performance on psychological tests. Clinicians use </w:t>
      </w:r>
      <w:r w:rsidR="00477B6F" w:rsidRPr="0054258D">
        <w:rPr>
          <w:sz w:val="19"/>
          <w:szCs w:val="19"/>
          <w:lang w:val="en-IN" w:eastAsia="en-IN"/>
        </w:rPr>
        <w:t xml:space="preserve">neuropsychological assessment </w:t>
      </w:r>
      <w:r w:rsidR="00246A94" w:rsidRPr="0054258D">
        <w:rPr>
          <w:sz w:val="19"/>
          <w:szCs w:val="19"/>
          <w:lang w:val="en-IN" w:eastAsia="en-IN"/>
        </w:rPr>
        <w:t xml:space="preserve">measures to attempt </w:t>
      </w:r>
      <w:r w:rsidR="00BA286B" w:rsidRPr="0054258D">
        <w:rPr>
          <w:sz w:val="19"/>
          <w:szCs w:val="19"/>
          <w:lang w:val="en-IN" w:eastAsia="en-IN"/>
        </w:rPr>
        <w:t xml:space="preserve">to determine </w:t>
      </w:r>
      <w:r w:rsidR="001C43ED" w:rsidRPr="0054258D">
        <w:rPr>
          <w:sz w:val="19"/>
          <w:szCs w:val="19"/>
          <w:lang w:val="en-IN" w:eastAsia="en-IN"/>
        </w:rPr>
        <w:t xml:space="preserve">the functional correlates of brain damage by comparing </w:t>
      </w:r>
      <w:r w:rsidR="00EA16F5" w:rsidRPr="0054258D">
        <w:rPr>
          <w:sz w:val="19"/>
          <w:szCs w:val="19"/>
          <w:lang w:val="en-IN" w:eastAsia="en-IN"/>
        </w:rPr>
        <w:t xml:space="preserve">a client’s </w:t>
      </w:r>
      <w:r w:rsidR="00530C58" w:rsidRPr="0054258D">
        <w:rPr>
          <w:sz w:val="19"/>
          <w:szCs w:val="19"/>
          <w:lang w:val="en-IN" w:eastAsia="en-IN"/>
        </w:rPr>
        <w:t xml:space="preserve">performance on </w:t>
      </w:r>
      <w:r w:rsidR="0061645C" w:rsidRPr="0054258D">
        <w:rPr>
          <w:sz w:val="19"/>
          <w:szCs w:val="19"/>
          <w:lang w:val="en-IN" w:eastAsia="en-IN"/>
        </w:rPr>
        <w:t xml:space="preserve">a particular test with normative data from individual who are known to have certain types </w:t>
      </w:r>
      <w:r w:rsidR="00B81296" w:rsidRPr="0054258D">
        <w:rPr>
          <w:sz w:val="19"/>
          <w:szCs w:val="19"/>
          <w:lang w:val="en-IN" w:eastAsia="en-IN"/>
        </w:rPr>
        <w:t xml:space="preserve">of injuries or disorders. </w:t>
      </w:r>
      <w:r w:rsidR="00E773FC" w:rsidRPr="0054258D">
        <w:rPr>
          <w:sz w:val="19"/>
          <w:szCs w:val="19"/>
          <w:lang w:val="en-IN" w:eastAsia="en-IN"/>
        </w:rPr>
        <w:t>there is no one set procedure for conducting a</w:t>
      </w:r>
      <w:r w:rsidRPr="0054258D">
        <w:rPr>
          <w:sz w:val="19"/>
          <w:szCs w:val="19"/>
          <w:lang w:val="en-IN" w:eastAsia="en-IN"/>
        </w:rPr>
        <w:t xml:space="preserve"> neuropsychological assessment.</w:t>
      </w:r>
    </w:p>
    <w:p w:rsidR="00284E78" w:rsidRPr="0054258D" w:rsidRDefault="00284E78" w:rsidP="0054258D">
      <w:pPr>
        <w:pStyle w:val="ListParagraph"/>
        <w:ind w:left="0"/>
        <w:jc w:val="both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ab/>
        <w:t xml:space="preserve">The techniques described so far have shown success in identifying brain abnormalities that </w:t>
      </w:r>
      <w:r w:rsidR="00F16093">
        <w:rPr>
          <w:sz w:val="19"/>
          <w:szCs w:val="19"/>
          <w:lang w:val="en-IN" w:eastAsia="en-IN"/>
        </w:rPr>
        <w:t>are very often accompanied by gross impairments in behaviour and varied psychological deficits.</w:t>
      </w:r>
      <w:r w:rsidR="00FA3679">
        <w:rPr>
          <w:sz w:val="19"/>
          <w:szCs w:val="19"/>
          <w:lang w:val="en-IN" w:eastAsia="en-IN"/>
        </w:rPr>
        <w:t xml:space="preserve"> However, behavioural and psychological impairments  due to </w:t>
      </w:r>
      <w:r w:rsidR="00044043">
        <w:rPr>
          <w:sz w:val="19"/>
          <w:szCs w:val="19"/>
          <w:lang w:val="en-IN" w:eastAsia="en-IN"/>
        </w:rPr>
        <w:t xml:space="preserve">organic brain abnormalities may be come manifest before </w:t>
      </w:r>
      <w:r w:rsidR="00BB2021">
        <w:rPr>
          <w:sz w:val="19"/>
          <w:szCs w:val="19"/>
          <w:lang w:val="en-IN" w:eastAsia="en-IN"/>
        </w:rPr>
        <w:t xml:space="preserve">any organic brain lesion is </w:t>
      </w:r>
      <w:r w:rsidR="00CE4491">
        <w:rPr>
          <w:sz w:val="19"/>
          <w:szCs w:val="19"/>
          <w:lang w:val="en-IN" w:eastAsia="en-IN"/>
        </w:rPr>
        <w:t xml:space="preserve">detectable by scanning or other means. </w:t>
      </w:r>
      <w:r w:rsidR="00DE7DF5">
        <w:rPr>
          <w:sz w:val="19"/>
          <w:szCs w:val="19"/>
          <w:lang w:val="en-IN" w:eastAsia="en-IN"/>
        </w:rPr>
        <w:t xml:space="preserve">In these instances, reliable techniques are needed to measure any alteration in behavioural or psychological functioning that has occurred because of the organic brain pathology. this need is met by a growing cadre of psychological specializing in </w:t>
      </w:r>
      <w:r w:rsidR="00DE7DF5" w:rsidRPr="00DE7DF5">
        <w:rPr>
          <w:b/>
          <w:sz w:val="19"/>
          <w:szCs w:val="19"/>
          <w:lang w:val="en-IN" w:eastAsia="en-IN"/>
        </w:rPr>
        <w:t>neuropsychological assessment</w:t>
      </w:r>
      <w:r w:rsidR="001B6822">
        <w:rPr>
          <w:sz w:val="19"/>
          <w:szCs w:val="19"/>
          <w:lang w:val="en-IN" w:eastAsia="en-IN"/>
        </w:rPr>
        <w:t xml:space="preserve">, which involves the use of various testing </w:t>
      </w:r>
      <w:r w:rsidR="009F2B1F">
        <w:rPr>
          <w:sz w:val="19"/>
          <w:szCs w:val="19"/>
          <w:lang w:val="en-IN" w:eastAsia="en-IN"/>
        </w:rPr>
        <w:t xml:space="preserve">devices to measure a person’s cognitive, </w:t>
      </w:r>
      <w:r w:rsidR="009F2B1F">
        <w:rPr>
          <w:sz w:val="19"/>
          <w:szCs w:val="19"/>
          <w:lang w:val="en-IN" w:eastAsia="en-IN"/>
        </w:rPr>
        <w:lastRenderedPageBreak/>
        <w:t xml:space="preserve">perceptual and motor performance as clues to the extent and location </w:t>
      </w:r>
      <w:r w:rsidR="00DB2603">
        <w:rPr>
          <w:sz w:val="19"/>
          <w:szCs w:val="19"/>
          <w:lang w:val="en-IN" w:eastAsia="en-IN"/>
        </w:rPr>
        <w:t xml:space="preserve">of brain damage. </w:t>
      </w:r>
    </w:p>
    <w:p w:rsidR="00C37707" w:rsidRDefault="00C37707" w:rsidP="00C37707">
      <w:pPr>
        <w:jc w:val="both"/>
        <w:rPr>
          <w:sz w:val="19"/>
          <w:szCs w:val="19"/>
          <w:lang w:val="en-IN" w:eastAsia="en-IN"/>
        </w:rPr>
      </w:pPr>
    </w:p>
    <w:p w:rsidR="00C37707" w:rsidRPr="0005164C" w:rsidRDefault="00C37707" w:rsidP="00C37707">
      <w:pPr>
        <w:numPr>
          <w:ilvl w:val="0"/>
          <w:numId w:val="2"/>
        </w:numPr>
        <w:jc w:val="both"/>
        <w:rPr>
          <w:b/>
          <w:sz w:val="19"/>
          <w:szCs w:val="19"/>
        </w:rPr>
      </w:pPr>
      <w:r w:rsidRPr="00883A50">
        <w:rPr>
          <w:sz w:val="19"/>
          <w:szCs w:val="19"/>
          <w:lang w:val="en-IN" w:eastAsia="en-IN"/>
        </w:rPr>
        <w:t xml:space="preserve"> </w:t>
      </w:r>
      <w:r w:rsidRPr="0005164C">
        <w:rPr>
          <w:b/>
          <w:sz w:val="19"/>
          <w:szCs w:val="19"/>
        </w:rPr>
        <w:t>Image:</w:t>
      </w:r>
    </w:p>
    <w:p w:rsidR="00C37707" w:rsidRPr="0005164C" w:rsidRDefault="00C37707" w:rsidP="00C37707">
      <w:pPr>
        <w:rPr>
          <w:sz w:val="19"/>
          <w:szCs w:val="19"/>
        </w:rPr>
      </w:pPr>
    </w:p>
    <w:p w:rsidR="00C37707" w:rsidRPr="0005164C" w:rsidRDefault="00C37707" w:rsidP="00C37707">
      <w:pPr>
        <w:pStyle w:val="BodyText"/>
        <w:ind w:firstLine="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2620010" cy="2179955"/>
            <wp:effectExtent l="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26" t="20288" r="48355" b="1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707" w:rsidRPr="0005164C" w:rsidRDefault="00C37707" w:rsidP="00C37707">
      <w:pPr>
        <w:pStyle w:val="BodyText"/>
        <w:jc w:val="left"/>
        <w:rPr>
          <w:sz w:val="19"/>
          <w:szCs w:val="19"/>
        </w:rPr>
      </w:pPr>
    </w:p>
    <w:p w:rsidR="00C37707" w:rsidRPr="0005164C" w:rsidRDefault="00C37707" w:rsidP="00C37707">
      <w:pPr>
        <w:pStyle w:val="BodyText"/>
        <w:numPr>
          <w:ilvl w:val="0"/>
          <w:numId w:val="2"/>
        </w:numPr>
        <w:jc w:val="left"/>
        <w:rPr>
          <w:b/>
          <w:sz w:val="19"/>
          <w:szCs w:val="19"/>
        </w:rPr>
      </w:pPr>
      <w:r w:rsidRPr="0005164C">
        <w:rPr>
          <w:b/>
          <w:sz w:val="19"/>
          <w:szCs w:val="19"/>
        </w:rPr>
        <w:t>Reference:</w:t>
      </w:r>
    </w:p>
    <w:p w:rsidR="00C37707" w:rsidRDefault="00851019" w:rsidP="00C37707">
      <w:pPr>
        <w:numPr>
          <w:ilvl w:val="0"/>
          <w:numId w:val="3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bookmarkStart w:id="1" w:name="2"/>
      <w:bookmarkEnd w:id="1"/>
      <w:r>
        <w:rPr>
          <w:sz w:val="19"/>
          <w:szCs w:val="19"/>
          <w:lang w:val="en-IN" w:eastAsia="en-IN"/>
        </w:rPr>
        <w:t xml:space="preserve">Sunderland, T; Hill, J.L.; Mellow, A.M.; Lawlor, B.A.; Gundersheimer, J. (1989). </w:t>
      </w:r>
      <w:r w:rsidR="00214B2D">
        <w:rPr>
          <w:sz w:val="19"/>
          <w:szCs w:val="19"/>
          <w:lang w:val="en-IN" w:eastAsia="en-IN"/>
        </w:rPr>
        <w:t>Journal of the American Geriatrics SoCiety, 37 (8), 725-729.</w:t>
      </w:r>
    </w:p>
    <w:p w:rsidR="00C37707" w:rsidRDefault="00905DDA" w:rsidP="00C37707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 xml:space="preserve">Rabin, L.A.; Barr, W.B. &amp; Burton, L.A. (2005). </w:t>
      </w:r>
      <w:r w:rsidR="00B63578">
        <w:rPr>
          <w:sz w:val="19"/>
          <w:szCs w:val="19"/>
          <w:lang w:val="en-IN" w:eastAsia="en-IN"/>
        </w:rPr>
        <w:t>Assessment practice of cilinical neuropsychologists</w:t>
      </w:r>
      <w:r w:rsidR="005466C4">
        <w:rPr>
          <w:sz w:val="19"/>
          <w:szCs w:val="19"/>
          <w:lang w:val="en-IN" w:eastAsia="en-IN"/>
        </w:rPr>
        <w:t xml:space="preserve"> in the Unitd Sate  and Canada. 20 (1), 33-65.</w:t>
      </w:r>
    </w:p>
    <w:p w:rsidR="00C37707" w:rsidRDefault="005466C4" w:rsidP="00C37707">
      <w:pPr>
        <w:numPr>
          <w:ilvl w:val="0"/>
          <w:numId w:val="1"/>
        </w:numPr>
        <w:shd w:val="clear" w:color="auto" w:fill="FFFFFF"/>
        <w:spacing w:before="100" w:beforeAutospacing="1" w:after="120"/>
        <w:jc w:val="left"/>
        <w:rPr>
          <w:sz w:val="19"/>
          <w:szCs w:val="19"/>
          <w:lang w:val="en-IN" w:eastAsia="en-IN"/>
        </w:rPr>
      </w:pPr>
      <w:r>
        <w:rPr>
          <w:sz w:val="19"/>
          <w:szCs w:val="19"/>
          <w:lang w:val="en-IN" w:eastAsia="en-IN"/>
        </w:rPr>
        <w:t xml:space="preserve">Nugahama, y.; Okina, T.; Suzuki, N.; Nabatame, H.; &amp; Matsuda, M. (2005). </w:t>
      </w:r>
      <w:r w:rsidR="00056325">
        <w:rPr>
          <w:sz w:val="19"/>
          <w:szCs w:val="19"/>
          <w:lang w:val="en-IN" w:eastAsia="en-IN"/>
        </w:rPr>
        <w:t>Journal of Neurology, Neurisergery, 76 (20, 169-175.</w:t>
      </w:r>
    </w:p>
    <w:p w:rsidR="00C37707" w:rsidRPr="0005164C" w:rsidRDefault="00C37707" w:rsidP="00C37707">
      <w:pPr>
        <w:numPr>
          <w:ilvl w:val="0"/>
          <w:numId w:val="2"/>
        </w:numPr>
        <w:shd w:val="clear" w:color="auto" w:fill="FFFFFF"/>
        <w:spacing w:before="100" w:beforeAutospacing="1" w:after="120"/>
        <w:jc w:val="left"/>
        <w:rPr>
          <w:b/>
          <w:sz w:val="19"/>
          <w:szCs w:val="19"/>
        </w:rPr>
      </w:pPr>
      <w:r w:rsidRPr="0005164C">
        <w:rPr>
          <w:b/>
          <w:sz w:val="19"/>
          <w:szCs w:val="19"/>
          <w:lang w:val="en-IN" w:eastAsia="en-IN"/>
        </w:rPr>
        <w:t>Biography:</w:t>
      </w:r>
    </w:p>
    <w:p w:rsidR="00CE2841" w:rsidRDefault="00CE2841" w:rsidP="00C37707">
      <w:pPr>
        <w:jc w:val="both"/>
        <w:rPr>
          <w:sz w:val="19"/>
          <w:szCs w:val="19"/>
        </w:rPr>
      </w:pPr>
    </w:p>
    <w:p w:rsidR="002C49CB" w:rsidRDefault="00CE2841" w:rsidP="00C37707">
      <w:pPr>
        <w:jc w:val="both"/>
        <w:rPr>
          <w:sz w:val="19"/>
          <w:szCs w:val="19"/>
        </w:rPr>
      </w:pPr>
      <w:r w:rsidRPr="002C49CB">
        <w:rPr>
          <w:b/>
          <w:sz w:val="19"/>
          <w:szCs w:val="19"/>
        </w:rPr>
        <w:t>Dr. BAJRANGI YADAV</w:t>
      </w:r>
      <w:r w:rsidR="00C37707" w:rsidRPr="0005164C">
        <w:rPr>
          <w:sz w:val="19"/>
          <w:szCs w:val="19"/>
        </w:rPr>
        <w:t xml:space="preserve"> has co</w:t>
      </w:r>
      <w:r>
        <w:rPr>
          <w:sz w:val="19"/>
          <w:szCs w:val="19"/>
        </w:rPr>
        <w:t>mpleted his PhD at the age of 31</w:t>
      </w:r>
      <w:r w:rsidR="00C37707" w:rsidRPr="0005164C">
        <w:rPr>
          <w:sz w:val="19"/>
          <w:szCs w:val="19"/>
        </w:rPr>
        <w:t xml:space="preserve"> years from </w:t>
      </w:r>
      <w:r>
        <w:rPr>
          <w:sz w:val="19"/>
          <w:szCs w:val="19"/>
        </w:rPr>
        <w:t>Dr. Ram Mnohar Lohiya Avadh</w:t>
      </w:r>
      <w:r w:rsidR="00C37707" w:rsidRPr="0005164C">
        <w:rPr>
          <w:sz w:val="19"/>
          <w:szCs w:val="19"/>
        </w:rPr>
        <w:t xml:space="preserve"> University</w:t>
      </w:r>
      <w:r>
        <w:rPr>
          <w:sz w:val="19"/>
          <w:szCs w:val="19"/>
        </w:rPr>
        <w:t>, Ayodhya (U.P.)-India.</w:t>
      </w:r>
      <w:r w:rsidR="00C37707" w:rsidRPr="0005164C">
        <w:rPr>
          <w:sz w:val="19"/>
          <w:szCs w:val="19"/>
        </w:rPr>
        <w:t xml:space="preserve"> He has publishe</w:t>
      </w:r>
      <w:r>
        <w:rPr>
          <w:sz w:val="19"/>
          <w:szCs w:val="19"/>
        </w:rPr>
        <w:t>d more than 28</w:t>
      </w:r>
      <w:r w:rsidR="00C37707" w:rsidRPr="0005164C">
        <w:rPr>
          <w:sz w:val="19"/>
          <w:szCs w:val="19"/>
        </w:rPr>
        <w:t xml:space="preserve"> papers in reputed journals and </w:t>
      </w:r>
      <w:r>
        <w:rPr>
          <w:sz w:val="19"/>
          <w:szCs w:val="19"/>
        </w:rPr>
        <w:t xml:space="preserve">18 National and International attended conference </w:t>
      </w:r>
      <w:r w:rsidR="00C37707" w:rsidRPr="0005164C">
        <w:rPr>
          <w:sz w:val="19"/>
          <w:szCs w:val="19"/>
        </w:rPr>
        <w:t>has been serving as an editorial board member of repute. (Up to 100 words)</w:t>
      </w:r>
      <w:r w:rsidR="00C37707" w:rsidRPr="0005164C">
        <w:rPr>
          <w:sz w:val="19"/>
          <w:szCs w:val="19"/>
        </w:rPr>
        <w:tab/>
      </w:r>
    </w:p>
    <w:p w:rsidR="002C49CB" w:rsidRDefault="002C49CB" w:rsidP="00C37707">
      <w:pPr>
        <w:jc w:val="both"/>
        <w:rPr>
          <w:sz w:val="19"/>
          <w:szCs w:val="19"/>
        </w:rPr>
      </w:pPr>
    </w:p>
    <w:p w:rsidR="00C37707" w:rsidRPr="0005164C" w:rsidRDefault="00C37707" w:rsidP="00C37707">
      <w:pPr>
        <w:jc w:val="both"/>
        <w:rPr>
          <w:rFonts w:eastAsia="MS PGothic"/>
          <w:b/>
          <w:sz w:val="19"/>
          <w:szCs w:val="19"/>
        </w:rPr>
      </w:pPr>
      <w:r w:rsidRPr="0005164C">
        <w:rPr>
          <w:sz w:val="19"/>
          <w:szCs w:val="19"/>
        </w:rPr>
        <w:br/>
      </w:r>
    </w:p>
    <w:p w:rsidR="00C37707" w:rsidRPr="0005164C" w:rsidRDefault="00C37707" w:rsidP="00C37707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b/>
          <w:sz w:val="19"/>
          <w:szCs w:val="19"/>
          <w:lang w:val="en-NZ"/>
        </w:rPr>
      </w:pPr>
      <w:r w:rsidRPr="0005164C">
        <w:rPr>
          <w:b/>
          <w:sz w:val="19"/>
          <w:szCs w:val="19"/>
          <w:lang w:val="en-NZ"/>
        </w:rPr>
        <w:lastRenderedPageBreak/>
        <w:t xml:space="preserve">Presenting author details </w:t>
      </w:r>
    </w:p>
    <w:p w:rsidR="00C37707" w:rsidRPr="0005164C" w:rsidRDefault="00C37707" w:rsidP="00C37707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</w:p>
    <w:p w:rsidR="00C37707" w:rsidRPr="0005164C" w:rsidRDefault="00C37707" w:rsidP="00C37707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>
        <w:rPr>
          <w:noProof/>
          <w:sz w:val="19"/>
          <w:szCs w:val="19"/>
        </w:rPr>
        <w:drawing>
          <wp:inline distT="0" distB="0" distL="0" distR="0">
            <wp:extent cx="1009015" cy="1233805"/>
            <wp:effectExtent l="19050" t="0" r="635" b="0"/>
            <wp:docPr id="2" name="Picture 2" descr="C:\Users\home\AppData\Local\Tem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Temp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64C">
        <w:rPr>
          <w:sz w:val="19"/>
          <w:szCs w:val="19"/>
          <w:lang w:val="en-NZ"/>
        </w:rPr>
        <w:br/>
      </w:r>
    </w:p>
    <w:p w:rsidR="00C37707" w:rsidRPr="0005164C" w:rsidRDefault="00C37707" w:rsidP="00C37707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Full Name:</w:t>
      </w:r>
      <w:r w:rsidR="008E2062">
        <w:rPr>
          <w:sz w:val="19"/>
          <w:szCs w:val="19"/>
          <w:lang w:val="en-NZ"/>
        </w:rPr>
        <w:t xml:space="preserve"> </w:t>
      </w:r>
      <w:r w:rsidR="008E2062" w:rsidRPr="001C1758">
        <w:rPr>
          <w:b/>
          <w:sz w:val="19"/>
          <w:szCs w:val="19"/>
          <w:lang w:val="en-NZ"/>
        </w:rPr>
        <w:t>Dr. BAJRANGI YADAV</w:t>
      </w:r>
    </w:p>
    <w:p w:rsidR="00C37707" w:rsidRPr="0005164C" w:rsidRDefault="00C37707" w:rsidP="00C37707">
      <w:pPr>
        <w:autoSpaceDE w:val="0"/>
        <w:autoSpaceDN w:val="0"/>
        <w:adjustRightInd w:val="0"/>
        <w:jc w:val="left"/>
        <w:rPr>
          <w:b/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Contact number:</w:t>
      </w:r>
      <w:r w:rsidR="008E2062">
        <w:rPr>
          <w:sz w:val="19"/>
          <w:szCs w:val="19"/>
          <w:lang w:val="en-NZ"/>
        </w:rPr>
        <w:t xml:space="preserve"> </w:t>
      </w:r>
      <w:r w:rsidR="008E2062" w:rsidRPr="001C1758">
        <w:rPr>
          <w:b/>
          <w:sz w:val="19"/>
          <w:szCs w:val="19"/>
          <w:lang w:val="en-NZ"/>
        </w:rPr>
        <w:t>9559037318</w:t>
      </w:r>
      <w:r w:rsidRPr="0005164C">
        <w:rPr>
          <w:sz w:val="19"/>
          <w:szCs w:val="19"/>
          <w:lang w:val="en-NZ"/>
        </w:rPr>
        <w:br/>
        <w:t>Twitter account:</w:t>
      </w:r>
      <w:r w:rsidR="008E2062">
        <w:rPr>
          <w:sz w:val="19"/>
          <w:szCs w:val="19"/>
          <w:lang w:val="en-NZ"/>
        </w:rPr>
        <w:t xml:space="preserve"> </w:t>
      </w:r>
      <w:r w:rsidR="008E2062" w:rsidRPr="001C1758">
        <w:rPr>
          <w:b/>
          <w:sz w:val="19"/>
          <w:szCs w:val="19"/>
          <w:lang w:val="en-NZ"/>
        </w:rPr>
        <w:t>Bajrangi Yadav</w:t>
      </w:r>
      <w:r w:rsidRPr="0005164C">
        <w:rPr>
          <w:sz w:val="19"/>
          <w:szCs w:val="19"/>
          <w:lang w:val="en-NZ"/>
        </w:rPr>
        <w:br/>
        <w:t>Linked In account:</w:t>
      </w:r>
    </w:p>
    <w:p w:rsidR="00C37707" w:rsidRPr="0005164C" w:rsidRDefault="00C37707" w:rsidP="00C37707">
      <w:pPr>
        <w:autoSpaceDE w:val="0"/>
        <w:autoSpaceDN w:val="0"/>
        <w:adjustRightInd w:val="0"/>
        <w:jc w:val="left"/>
        <w:rPr>
          <w:sz w:val="19"/>
          <w:szCs w:val="19"/>
          <w:lang w:val="en-NZ"/>
        </w:rPr>
      </w:pPr>
      <w:r w:rsidRPr="0005164C">
        <w:rPr>
          <w:sz w:val="19"/>
          <w:szCs w:val="19"/>
          <w:lang w:val="en-NZ"/>
        </w:rPr>
        <w:t>Session name/ number:</w:t>
      </w:r>
      <w:r w:rsidR="008E2062" w:rsidRPr="001C1758">
        <w:rPr>
          <w:b/>
          <w:sz w:val="19"/>
          <w:szCs w:val="19"/>
          <w:lang w:val="en-NZ"/>
        </w:rPr>
        <w:t xml:space="preserve"> Neuroscience</w:t>
      </w:r>
      <w:r w:rsidR="00C43F68">
        <w:rPr>
          <w:sz w:val="19"/>
          <w:szCs w:val="19"/>
          <w:lang w:val="en-NZ"/>
        </w:rPr>
        <w:br/>
        <w:t xml:space="preserve">Category: </w:t>
      </w:r>
      <w:r w:rsidRPr="001C1758">
        <w:rPr>
          <w:b/>
          <w:sz w:val="19"/>
          <w:szCs w:val="19"/>
          <w:lang w:val="en-NZ"/>
        </w:rPr>
        <w:t>Oral pr</w:t>
      </w:r>
      <w:r w:rsidR="00C43F68" w:rsidRPr="001C1758">
        <w:rPr>
          <w:b/>
          <w:sz w:val="19"/>
          <w:szCs w:val="19"/>
          <w:lang w:val="en-NZ"/>
        </w:rPr>
        <w:t>esentation</w:t>
      </w:r>
    </w:p>
    <w:p w:rsidR="00C37707" w:rsidRPr="0005164C" w:rsidRDefault="00C37707" w:rsidP="00C37707">
      <w:pPr>
        <w:autoSpaceDE w:val="0"/>
        <w:autoSpaceDN w:val="0"/>
        <w:adjustRightInd w:val="0"/>
        <w:jc w:val="left"/>
        <w:rPr>
          <w:sz w:val="18"/>
          <w:szCs w:val="18"/>
          <w:lang w:val="en-NZ"/>
        </w:rPr>
      </w:pPr>
      <w:r w:rsidRPr="0005164C">
        <w:rPr>
          <w:sz w:val="19"/>
          <w:szCs w:val="19"/>
          <w:lang w:val="en-NZ"/>
        </w:rPr>
        <w:t>Passport Number</w:t>
      </w:r>
      <w:r w:rsidRPr="0005164C">
        <w:rPr>
          <w:sz w:val="18"/>
          <w:szCs w:val="18"/>
          <w:lang w:val="en-IN"/>
        </w:rPr>
        <w:t>:</w:t>
      </w:r>
      <w:r w:rsidR="00A02BE0">
        <w:rPr>
          <w:sz w:val="18"/>
          <w:szCs w:val="18"/>
          <w:lang w:val="en-IN"/>
        </w:rPr>
        <w:t xml:space="preserve"> </w:t>
      </w:r>
      <w:r w:rsidR="00A02BE0" w:rsidRPr="001C1758">
        <w:rPr>
          <w:b/>
          <w:sz w:val="18"/>
          <w:szCs w:val="18"/>
          <w:lang w:val="en-IN"/>
        </w:rPr>
        <w:t>N6410188</w:t>
      </w:r>
    </w:p>
    <w:p w:rsidR="00AC6D4D" w:rsidRDefault="00AC6D4D"/>
    <w:sectPr w:rsidR="00AC6D4D" w:rsidSect="003C0794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7D3"/>
    <w:multiLevelType w:val="hybridMultilevel"/>
    <w:tmpl w:val="444691F4"/>
    <w:lvl w:ilvl="0" w:tplc="828805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56B"/>
    <w:multiLevelType w:val="multilevel"/>
    <w:tmpl w:val="756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50AC4"/>
    <w:multiLevelType w:val="hybridMultilevel"/>
    <w:tmpl w:val="3C5C1248"/>
    <w:lvl w:ilvl="0" w:tplc="20D884FC">
      <w:start w:val="1"/>
      <w:numFmt w:val="upperRoman"/>
      <w:lvlText w:val="%1."/>
      <w:lvlJc w:val="left"/>
      <w:pPr>
        <w:ind w:left="17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4" w:hanging="360"/>
      </w:pPr>
    </w:lvl>
    <w:lvl w:ilvl="2" w:tplc="4009001B" w:tentative="1">
      <w:start w:val="1"/>
      <w:numFmt w:val="lowerRoman"/>
      <w:lvlText w:val="%3."/>
      <w:lvlJc w:val="right"/>
      <w:pPr>
        <w:ind w:left="2794" w:hanging="180"/>
      </w:pPr>
    </w:lvl>
    <w:lvl w:ilvl="3" w:tplc="4009000F" w:tentative="1">
      <w:start w:val="1"/>
      <w:numFmt w:val="decimal"/>
      <w:lvlText w:val="%4."/>
      <w:lvlJc w:val="left"/>
      <w:pPr>
        <w:ind w:left="3514" w:hanging="360"/>
      </w:pPr>
    </w:lvl>
    <w:lvl w:ilvl="4" w:tplc="40090019" w:tentative="1">
      <w:start w:val="1"/>
      <w:numFmt w:val="lowerLetter"/>
      <w:lvlText w:val="%5."/>
      <w:lvlJc w:val="left"/>
      <w:pPr>
        <w:ind w:left="4234" w:hanging="360"/>
      </w:pPr>
    </w:lvl>
    <w:lvl w:ilvl="5" w:tplc="4009001B" w:tentative="1">
      <w:start w:val="1"/>
      <w:numFmt w:val="lowerRoman"/>
      <w:lvlText w:val="%6."/>
      <w:lvlJc w:val="right"/>
      <w:pPr>
        <w:ind w:left="4954" w:hanging="180"/>
      </w:pPr>
    </w:lvl>
    <w:lvl w:ilvl="6" w:tplc="4009000F" w:tentative="1">
      <w:start w:val="1"/>
      <w:numFmt w:val="decimal"/>
      <w:lvlText w:val="%7."/>
      <w:lvlJc w:val="left"/>
      <w:pPr>
        <w:ind w:left="5674" w:hanging="360"/>
      </w:pPr>
    </w:lvl>
    <w:lvl w:ilvl="7" w:tplc="40090019" w:tentative="1">
      <w:start w:val="1"/>
      <w:numFmt w:val="lowerLetter"/>
      <w:lvlText w:val="%8."/>
      <w:lvlJc w:val="left"/>
      <w:pPr>
        <w:ind w:left="6394" w:hanging="360"/>
      </w:pPr>
    </w:lvl>
    <w:lvl w:ilvl="8" w:tplc="4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75D82C28"/>
    <w:multiLevelType w:val="hybridMultilevel"/>
    <w:tmpl w:val="3C76DA60"/>
    <w:lvl w:ilvl="0" w:tplc="5FF47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37707"/>
    <w:rsid w:val="00020423"/>
    <w:rsid w:val="00044043"/>
    <w:rsid w:val="00056325"/>
    <w:rsid w:val="00062860"/>
    <w:rsid w:val="00157AEB"/>
    <w:rsid w:val="001B6822"/>
    <w:rsid w:val="001C1758"/>
    <w:rsid w:val="001C43ED"/>
    <w:rsid w:val="001D69CB"/>
    <w:rsid w:val="00200438"/>
    <w:rsid w:val="00214B2D"/>
    <w:rsid w:val="00246A94"/>
    <w:rsid w:val="0025334C"/>
    <w:rsid w:val="00284E78"/>
    <w:rsid w:val="00297289"/>
    <w:rsid w:val="002C49CB"/>
    <w:rsid w:val="00356795"/>
    <w:rsid w:val="003D0274"/>
    <w:rsid w:val="00471261"/>
    <w:rsid w:val="00477B6F"/>
    <w:rsid w:val="004C5251"/>
    <w:rsid w:val="00530C58"/>
    <w:rsid w:val="0054258D"/>
    <w:rsid w:val="005466C4"/>
    <w:rsid w:val="005621BE"/>
    <w:rsid w:val="0061645C"/>
    <w:rsid w:val="00752CB7"/>
    <w:rsid w:val="00790C99"/>
    <w:rsid w:val="007918E8"/>
    <w:rsid w:val="008028DA"/>
    <w:rsid w:val="00851019"/>
    <w:rsid w:val="00875A7A"/>
    <w:rsid w:val="008E2062"/>
    <w:rsid w:val="00905DDA"/>
    <w:rsid w:val="009146DA"/>
    <w:rsid w:val="009C7C49"/>
    <w:rsid w:val="009F2B1F"/>
    <w:rsid w:val="00A02BE0"/>
    <w:rsid w:val="00A25D9A"/>
    <w:rsid w:val="00AC6D4D"/>
    <w:rsid w:val="00B63578"/>
    <w:rsid w:val="00B71F3D"/>
    <w:rsid w:val="00B81296"/>
    <w:rsid w:val="00B83D98"/>
    <w:rsid w:val="00BA286B"/>
    <w:rsid w:val="00BB2021"/>
    <w:rsid w:val="00C37707"/>
    <w:rsid w:val="00C43F68"/>
    <w:rsid w:val="00CE2841"/>
    <w:rsid w:val="00CE4491"/>
    <w:rsid w:val="00D1047F"/>
    <w:rsid w:val="00D14D43"/>
    <w:rsid w:val="00DB2603"/>
    <w:rsid w:val="00DE7DF5"/>
    <w:rsid w:val="00E43927"/>
    <w:rsid w:val="00E773FC"/>
    <w:rsid w:val="00EA16F5"/>
    <w:rsid w:val="00F001F2"/>
    <w:rsid w:val="00F16093"/>
    <w:rsid w:val="00F714A7"/>
    <w:rsid w:val="00FA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uiPriority w:val="99"/>
    <w:rsid w:val="00C3770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BodyText">
    <w:name w:val="Body Text"/>
    <w:basedOn w:val="Normal"/>
    <w:link w:val="BodyTextChar"/>
    <w:uiPriority w:val="99"/>
    <w:rsid w:val="00C3770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basedOn w:val="DefaultParagraphFont"/>
    <w:link w:val="BodyText"/>
    <w:uiPriority w:val="99"/>
    <w:rsid w:val="00C37707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keywords">
    <w:name w:val="key words"/>
    <w:uiPriority w:val="99"/>
    <w:rsid w:val="00C3770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penaccessjournals.com/articles/major-risk-factors-for-atherosclerosis-and-metabolic-syndrome-the-uhs-1217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62</cp:revision>
  <dcterms:created xsi:type="dcterms:W3CDTF">2020-02-13T07:38:00Z</dcterms:created>
  <dcterms:modified xsi:type="dcterms:W3CDTF">2020-02-13T08:48:00Z</dcterms:modified>
</cp:coreProperties>
</file>