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90CC6C" w14:textId="77777777" w:rsidR="007B1824" w:rsidRPr="006B5568" w:rsidRDefault="007B1824" w:rsidP="007B1824">
      <w:pPr>
        <w:pStyle w:val="Heading2"/>
        <w:spacing w:before="0"/>
        <w:rPr>
          <w:rFonts w:ascii="Times New Roman" w:eastAsia="Times New Roman" w:hAnsi="Times New Roman" w:cs="Times New Roman"/>
          <w:color w:val="002060"/>
          <w:sz w:val="28"/>
          <w:szCs w:val="20"/>
          <w:lang w:val="en-IN"/>
        </w:rPr>
      </w:pPr>
      <w:r w:rsidRPr="006B5568">
        <w:rPr>
          <w:rFonts w:ascii="Times New Roman" w:hAnsi="Times New Roman" w:cs="Times New Roman"/>
          <w:b/>
          <w:bCs/>
          <w:color w:val="002060"/>
          <w:sz w:val="28"/>
          <w:szCs w:val="20"/>
        </w:rPr>
        <w:fldChar w:fldCharType="begin"/>
      </w:r>
      <w:r w:rsidRPr="006B5568">
        <w:rPr>
          <w:rFonts w:ascii="Times New Roman" w:hAnsi="Times New Roman" w:cs="Times New Roman"/>
          <w:b/>
          <w:bCs/>
          <w:color w:val="002060"/>
          <w:sz w:val="28"/>
          <w:szCs w:val="20"/>
        </w:rPr>
        <w:instrText xml:space="preserve"> HYPERLINK "http://www.sciencedirect.com/science/article/pii/S1359511317310590" </w:instrText>
      </w:r>
      <w:r w:rsidRPr="006B5568">
        <w:rPr>
          <w:rFonts w:ascii="Times New Roman" w:hAnsi="Times New Roman" w:cs="Times New Roman"/>
          <w:b/>
          <w:bCs/>
          <w:color w:val="002060"/>
          <w:sz w:val="28"/>
          <w:szCs w:val="20"/>
        </w:rPr>
        <w:fldChar w:fldCharType="separate"/>
      </w:r>
      <w:r w:rsidR="00851507" w:rsidRPr="006B5568">
        <w:rPr>
          <w:rStyle w:val="Hyperlink"/>
          <w:rFonts w:ascii="Times New Roman" w:hAnsi="Times New Roman" w:cs="Times New Roman"/>
          <w:b/>
          <w:bCs/>
          <w:color w:val="002060"/>
          <w:sz w:val="28"/>
          <w:szCs w:val="20"/>
          <w:u w:val="none"/>
        </w:rPr>
        <w:t>Manufacturing</w:t>
      </w:r>
      <w:r w:rsidRPr="006B5568">
        <w:rPr>
          <w:rStyle w:val="Hyperlink"/>
          <w:rFonts w:ascii="Times New Roman" w:hAnsi="Times New Roman" w:cs="Times New Roman"/>
          <w:b/>
          <w:bCs/>
          <w:color w:val="002060"/>
          <w:sz w:val="28"/>
          <w:szCs w:val="20"/>
          <w:u w:val="none"/>
        </w:rPr>
        <w:t xml:space="preserve"> of alkene phosphatases f</w:t>
      </w:r>
      <w:r w:rsidRPr="006B5568">
        <w:rPr>
          <w:rFonts w:ascii="Times New Roman" w:hAnsi="Times New Roman" w:cs="Times New Roman"/>
          <w:b/>
          <w:color w:val="002060"/>
          <w:sz w:val="28"/>
          <w:szCs w:val="20"/>
        </w:rPr>
        <w:t>rom marine or</w:t>
      </w:r>
      <w:r w:rsidRPr="006B5568">
        <w:rPr>
          <w:rStyle w:val="Hyperlink"/>
          <w:rFonts w:ascii="Times New Roman" w:hAnsi="Times New Roman" w:cs="Times New Roman"/>
          <w:b/>
          <w:bCs/>
          <w:color w:val="002060"/>
          <w:sz w:val="28"/>
          <w:szCs w:val="20"/>
          <w:u w:val="none"/>
        </w:rPr>
        <w:t>ganisms with potential functions and industrial applications</w:t>
      </w:r>
      <w:r w:rsidRPr="006B5568">
        <w:rPr>
          <w:rFonts w:ascii="Times New Roman" w:hAnsi="Times New Roman" w:cs="Times New Roman"/>
          <w:b/>
          <w:bCs/>
          <w:color w:val="002060"/>
          <w:sz w:val="28"/>
          <w:szCs w:val="20"/>
        </w:rPr>
        <w:fldChar w:fldCharType="end"/>
      </w:r>
    </w:p>
    <w:p w14:paraId="15FF2F31"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79C22A1D"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28D68708"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49071858" w14:textId="35878C2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r w:rsidR="009B0763" w:rsidRPr="006B5568">
        <w:rPr>
          <w:rFonts w:ascii="Times New Roman" w:hAnsi="Times New Roman" w:cs="Times New Roman"/>
          <w:sz w:val="20"/>
          <w:szCs w:val="20"/>
        </w:rPr>
        <w:t>vast area</w:t>
      </w:r>
      <w:r w:rsidR="00CA779B" w:rsidRPr="006B5568">
        <w:rPr>
          <w:rFonts w:ascii="Times New Roman" w:hAnsi="Times New Roman" w:cs="Times New Roman"/>
          <w:sz w:val="20"/>
          <w:szCs w:val="20"/>
        </w:rPr>
        <w:t xml:space="preserve"> and volume have </w:t>
      </w:r>
      <w:r w:rsidR="009B0763" w:rsidRPr="006B5568">
        <w:rPr>
          <w:rFonts w:ascii="Times New Roman" w:hAnsi="Times New Roman" w:cs="Times New Roman"/>
          <w:sz w:val="20"/>
          <w:szCs w:val="20"/>
        </w:rPr>
        <w:t>seemed</w:t>
      </w:r>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303DCB06"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4DA283F7"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6EAD6BF3"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0E13459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14614C29"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14:anchorId="302BD4D5" wp14:editId="1C90CD44">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73B36B00"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451CE259" w14:textId="179ED90E"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Recent research studies by NOAA scientists have shown that even insignificant amounts of petroleum.</w:t>
      </w:r>
      <w:r w:rsidR="00764295">
        <w:rPr>
          <w:rFonts w:ascii="Times New Roman" w:hAnsi="Times New Roman" w:cs="Times New Roman"/>
          <w:sz w:val="20"/>
          <w:szCs w:val="20"/>
          <w:shd w:val="clear" w:color="auto" w:fill="F9F9F9"/>
        </w:rPr>
        <w:t xml:space="preserve"> </w:t>
      </w:r>
      <w:r w:rsidRPr="006B5568">
        <w:rPr>
          <w:rFonts w:ascii="Times New Roman" w:hAnsi="Times New Roman" w:cs="Times New Roman"/>
          <w:sz w:val="20"/>
          <w:szCs w:val="20"/>
          <w:shd w:val="clear" w:color="auto" w:fill="F9F9F9"/>
        </w:rPr>
        <w:t>(IXTOC I, 1979)</w:t>
      </w:r>
    </w:p>
    <w:p w14:paraId="00245A36" w14:textId="1FD3C7AF"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r w:rsidRPr="006B5568">
        <w:rPr>
          <w:rFonts w:ascii="Times New Roman" w:hAnsi="Times New Roman" w:cs="Times New Roman"/>
          <w:sz w:val="20"/>
          <w:szCs w:val="20"/>
        </w:rPr>
        <w:t xml:space="preserve">Heilig M, </w:t>
      </w:r>
      <w:r w:rsidR="009B0763" w:rsidRPr="006B5568">
        <w:rPr>
          <w:rFonts w:ascii="Times New Roman" w:hAnsi="Times New Roman" w:cs="Times New Roman"/>
          <w:sz w:val="20"/>
          <w:szCs w:val="20"/>
        </w:rPr>
        <w:t>Eglin</w:t>
      </w:r>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DA56FFC" w14:textId="464D714C"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r w:rsidR="009B0763" w:rsidRPr="006B5568">
        <w:rPr>
          <w:rFonts w:ascii="Times New Roman" w:hAnsi="Times New Roman" w:cs="Times New Roman"/>
          <w:sz w:val="20"/>
          <w:szCs w:val="20"/>
        </w:rPr>
        <w:t>Schwachman</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MG, Chaudry</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1EC5CA07"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24E42839" w14:textId="0FAEE125"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r w:rsidR="009B0763" w:rsidRPr="006B5568">
        <w:rPr>
          <w:rFonts w:ascii="Times New Roman" w:hAnsi="Times New Roman" w:cs="Times New Roman"/>
          <w:sz w:val="20"/>
          <w:szCs w:val="20"/>
        </w:rPr>
        <w:t>Zahra</w:t>
      </w:r>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5FE7C8CE"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9"/>
          <w:type w:val="continuous"/>
          <w:pgSz w:w="11910" w:h="16840"/>
          <w:pgMar w:top="1740" w:right="600" w:bottom="840" w:left="620" w:header="720" w:footer="720" w:gutter="0"/>
          <w:cols w:space="720"/>
          <w:docGrid w:linePitch="299"/>
        </w:sectPr>
      </w:pPr>
    </w:p>
    <w:p w14:paraId="5A0F6638" w14:textId="77777777" w:rsidR="005C2E3C" w:rsidRPr="006B5568" w:rsidRDefault="005C2E3C" w:rsidP="005C2E3C">
      <w:pPr>
        <w:pStyle w:val="BodyText"/>
        <w:rPr>
          <w:rFonts w:ascii="Times New Roman" w:hAnsi="Times New Roman" w:cs="Times New Roman"/>
          <w:sz w:val="20"/>
          <w:szCs w:val="20"/>
        </w:rPr>
      </w:pPr>
    </w:p>
    <w:p w14:paraId="1BD154F4"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7A1F7407" wp14:editId="23B337F1">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48B4C99D" w14:textId="77777777"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14:anchorId="2D75D4B8" wp14:editId="1C6E6B37">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p>
    <w:p w14:paraId="5AA775FC" w14:textId="1D47E9DD"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r w:rsidR="00CA779B" w:rsidRPr="006B5568">
        <w:rPr>
          <w:rFonts w:ascii="Times New Roman" w:hAnsi="Times New Roman" w:cs="Times New Roman"/>
          <w:sz w:val="20"/>
          <w:szCs w:val="20"/>
        </w:rPr>
        <w:t>His</w:t>
      </w:r>
      <w:r w:rsidR="009B0763">
        <w:rPr>
          <w:rFonts w:ascii="Times New Roman" w:hAnsi="Times New Roman" w:cs="Times New Roman"/>
          <w:sz w:val="20"/>
          <w:szCs w:val="20"/>
        </w:rPr>
        <w:t xml:space="preserve"> </w:t>
      </w:r>
      <w:r w:rsidR="00CA779B" w:rsidRPr="006B5568">
        <w:rPr>
          <w:rFonts w:ascii="Times New Roman" w:hAnsi="Times New Roman" w:cs="Times New Roman"/>
          <w:sz w:val="20"/>
          <w:szCs w:val="20"/>
        </w:rPr>
        <w:t>/</w:t>
      </w:r>
      <w:r w:rsidR="009B0763">
        <w:rPr>
          <w:rFonts w:ascii="Times New Roman" w:hAnsi="Times New Roman" w:cs="Times New Roman"/>
          <w:sz w:val="20"/>
          <w:szCs w:val="20"/>
        </w:rPr>
        <w:t xml:space="preserve"> </w:t>
      </w:r>
      <w:r w:rsidR="005C2E3C" w:rsidRPr="006B5568">
        <w:rPr>
          <w:rFonts w:ascii="Times New Roman" w:hAnsi="Times New Roman" w:cs="Times New Roman"/>
          <w:sz w:val="20"/>
          <w:szCs w:val="20"/>
        </w:rPr>
        <w:t xml:space="preserve">Her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r w:rsidR="00CA779B" w:rsidRPr="006B5568">
        <w:rPr>
          <w:rFonts w:ascii="Times New Roman" w:hAnsi="Times New Roman" w:cs="Times New Roman"/>
          <w:sz w:val="20"/>
          <w:szCs w:val="20"/>
        </w:rPr>
        <w:t>He</w:t>
      </w:r>
      <w:r w:rsidR="0019729E">
        <w:rPr>
          <w:rFonts w:ascii="Times New Roman" w:hAnsi="Times New Roman" w:cs="Times New Roman"/>
          <w:sz w:val="20"/>
          <w:szCs w:val="20"/>
        </w:rPr>
        <w:t xml:space="preserve"> </w:t>
      </w:r>
      <w:r w:rsidR="00CA779B" w:rsidRPr="006B5568">
        <w:rPr>
          <w:rFonts w:ascii="Times New Roman" w:hAnsi="Times New Roman" w:cs="Times New Roman"/>
          <w:sz w:val="20"/>
          <w:szCs w:val="20"/>
        </w:rPr>
        <w:t>/</w:t>
      </w:r>
      <w:r w:rsidR="0019729E">
        <w:rPr>
          <w:rFonts w:ascii="Times New Roman" w:hAnsi="Times New Roman" w:cs="Times New Roman"/>
          <w:sz w:val="20"/>
          <w:szCs w:val="20"/>
        </w:rPr>
        <w:t xml:space="preserve"> </w:t>
      </w:r>
      <w:r w:rsidR="005C2E3C" w:rsidRPr="006B5568">
        <w:rPr>
          <w:rFonts w:ascii="Times New Roman" w:hAnsi="Times New Roman" w:cs="Times New Roman"/>
          <w:sz w:val="20"/>
          <w:szCs w:val="20"/>
        </w:rPr>
        <w:t xml:space="preserve">She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6566183D"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1" w:history="1">
        <w:r w:rsidR="006B5568" w:rsidRPr="006B5568">
          <w:rPr>
            <w:rStyle w:val="Hyperlink"/>
            <w:rFonts w:ascii="Times New Roman" w:hAnsi="Times New Roman" w:cs="Times New Roman"/>
            <w:sz w:val="20"/>
            <w:szCs w:val="20"/>
          </w:rPr>
          <w:t>andrXXX@xxxmail.com</w:t>
        </w:r>
      </w:hyperlink>
    </w:p>
    <w:p w14:paraId="18BCD83E"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5313E4B0" wp14:editId="3D390742">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1FC09492" w14:textId="77777777" w:rsidR="005C2E3C" w:rsidRPr="006B5568" w:rsidRDefault="005C2E3C" w:rsidP="005C2E3C">
      <w:pPr>
        <w:pStyle w:val="BodyText"/>
        <w:rPr>
          <w:rFonts w:ascii="Times New Roman" w:hAnsi="Times New Roman" w:cs="Times New Roman"/>
          <w:sz w:val="20"/>
          <w:szCs w:val="20"/>
        </w:rPr>
      </w:pPr>
    </w:p>
    <w:p w14:paraId="3A107AE8" w14:textId="77777777" w:rsidR="005C2E3C" w:rsidRPr="006B5568" w:rsidRDefault="005C2E3C" w:rsidP="005C2E3C">
      <w:pPr>
        <w:pStyle w:val="BodyText"/>
        <w:rPr>
          <w:rFonts w:ascii="Times New Roman" w:hAnsi="Times New Roman" w:cs="Times New Roman"/>
          <w:sz w:val="20"/>
          <w:szCs w:val="20"/>
        </w:rPr>
      </w:pPr>
    </w:p>
    <w:p w14:paraId="2547F644" w14:textId="77777777" w:rsidR="005C2E3C" w:rsidRPr="006B5568" w:rsidRDefault="005C2E3C" w:rsidP="005C2E3C">
      <w:pPr>
        <w:pStyle w:val="BodyText"/>
        <w:spacing w:before="7"/>
        <w:rPr>
          <w:rFonts w:ascii="Times New Roman" w:hAnsi="Times New Roman" w:cs="Times New Roman"/>
          <w:sz w:val="20"/>
          <w:szCs w:val="20"/>
        </w:rPr>
      </w:pPr>
    </w:p>
    <w:p w14:paraId="54BF5C54"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4C45E33F" w14:textId="77777777" w:rsidR="00206FCE" w:rsidRPr="006B5568" w:rsidRDefault="00206FCE">
      <w:pPr>
        <w:rPr>
          <w:rFonts w:ascii="Times New Roman" w:hAnsi="Times New Roman" w:cs="Times New Roman"/>
          <w:sz w:val="20"/>
          <w:szCs w:val="20"/>
        </w:rPr>
      </w:pPr>
    </w:p>
    <w:sectPr w:rsidR="00206FCE" w:rsidRPr="006B5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5EA2" w14:textId="77777777" w:rsidR="007535E3" w:rsidRDefault="007535E3" w:rsidP="00DB7489">
      <w:r>
        <w:separator/>
      </w:r>
    </w:p>
  </w:endnote>
  <w:endnote w:type="continuationSeparator" w:id="0">
    <w:p w14:paraId="4C95BFB5" w14:textId="77777777" w:rsidR="007535E3" w:rsidRDefault="007535E3"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9B2A8" w14:textId="77777777" w:rsidR="007535E3" w:rsidRDefault="007535E3" w:rsidP="00DB7489">
      <w:r>
        <w:separator/>
      </w:r>
    </w:p>
  </w:footnote>
  <w:footnote w:type="continuationSeparator" w:id="0">
    <w:p w14:paraId="2D0AAC60" w14:textId="77777777" w:rsidR="007535E3" w:rsidRDefault="007535E3" w:rsidP="00DB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B97B" w14:textId="39559BBD" w:rsidR="00DB7489" w:rsidRDefault="00DC76D7">
    <w:pPr>
      <w:pStyle w:val="Header"/>
    </w:pPr>
    <w:r>
      <w:rPr>
        <w:noProof/>
      </w:rPr>
      <w:drawing>
        <wp:inline distT="0" distB="0" distL="0" distR="0" wp14:anchorId="24448099" wp14:editId="4DFB24F0">
          <wp:extent cx="6788150" cy="881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afety.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8"/>
    <w:rsid w:val="00023D29"/>
    <w:rsid w:val="000C3E81"/>
    <w:rsid w:val="00146DAC"/>
    <w:rsid w:val="0019729E"/>
    <w:rsid w:val="00206FCE"/>
    <w:rsid w:val="00254333"/>
    <w:rsid w:val="00281561"/>
    <w:rsid w:val="002929A4"/>
    <w:rsid w:val="002C43D5"/>
    <w:rsid w:val="00303F0F"/>
    <w:rsid w:val="003C0478"/>
    <w:rsid w:val="00406DAF"/>
    <w:rsid w:val="00477FAA"/>
    <w:rsid w:val="00596D06"/>
    <w:rsid w:val="005C2E3C"/>
    <w:rsid w:val="006B5568"/>
    <w:rsid w:val="007535E3"/>
    <w:rsid w:val="00764295"/>
    <w:rsid w:val="007B1824"/>
    <w:rsid w:val="00851507"/>
    <w:rsid w:val="008C73BB"/>
    <w:rsid w:val="008E1BA9"/>
    <w:rsid w:val="00904D98"/>
    <w:rsid w:val="009B0763"/>
    <w:rsid w:val="009F4CD0"/>
    <w:rsid w:val="00C73A03"/>
    <w:rsid w:val="00CA779B"/>
    <w:rsid w:val="00DB7489"/>
    <w:rsid w:val="00DC76D7"/>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BalloonText">
    <w:name w:val="Balloon Text"/>
    <w:basedOn w:val="Normal"/>
    <w:link w:val="BalloonTextChar"/>
    <w:uiPriority w:val="99"/>
    <w:semiHidden/>
    <w:unhideWhenUsed/>
    <w:rsid w:val="00DC76D7"/>
    <w:rPr>
      <w:rFonts w:ascii="Tahoma" w:hAnsi="Tahoma" w:cs="Tahoma"/>
      <w:sz w:val="16"/>
      <w:szCs w:val="16"/>
    </w:rPr>
  </w:style>
  <w:style w:type="character" w:customStyle="1" w:styleId="BalloonTextChar">
    <w:name w:val="Balloon Text Char"/>
    <w:basedOn w:val="DefaultParagraphFont"/>
    <w:link w:val="BalloonText"/>
    <w:uiPriority w:val="99"/>
    <w:semiHidden/>
    <w:rsid w:val="00DC76D7"/>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BalloonText">
    <w:name w:val="Balloon Text"/>
    <w:basedOn w:val="Normal"/>
    <w:link w:val="BalloonTextChar"/>
    <w:uiPriority w:val="99"/>
    <w:semiHidden/>
    <w:unhideWhenUsed/>
    <w:rsid w:val="00DC76D7"/>
    <w:rPr>
      <w:rFonts w:ascii="Tahoma" w:hAnsi="Tahoma" w:cs="Tahoma"/>
      <w:sz w:val="16"/>
      <w:szCs w:val="16"/>
    </w:rPr>
  </w:style>
  <w:style w:type="character" w:customStyle="1" w:styleId="BalloonTextChar">
    <w:name w:val="Balloon Text Char"/>
    <w:basedOn w:val="DefaultParagraphFont"/>
    <w:link w:val="BalloonText"/>
    <w:uiPriority w:val="99"/>
    <w:semiHidden/>
    <w:rsid w:val="00DC76D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XXX@xxx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food safetyeurope</cp:lastModifiedBy>
  <cp:revision>23</cp:revision>
  <dcterms:created xsi:type="dcterms:W3CDTF">2017-10-23T08:08:00Z</dcterms:created>
  <dcterms:modified xsi:type="dcterms:W3CDTF">2018-07-12T13:21:00Z</dcterms:modified>
</cp:coreProperties>
</file>