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80" w:rsidRDefault="00982D9F">
      <w:pPr>
        <w:spacing w:line="234" w:lineRule="auto"/>
        <w:ind w:right="440"/>
        <w:rPr>
          <w:sz w:val="20"/>
          <w:szCs w:val="20"/>
        </w:rPr>
      </w:pPr>
      <w:r>
        <w:rPr>
          <w:rFonts w:eastAsia="Times New Roman"/>
          <w:sz w:val="28"/>
          <w:szCs w:val="28"/>
        </w:rPr>
        <w:t xml:space="preserve">Validated Chromatographic Methods </w:t>
      </w:r>
      <w:proofErr w:type="gramStart"/>
      <w:r>
        <w:rPr>
          <w:rFonts w:eastAsia="Times New Roman"/>
          <w:sz w:val="28"/>
          <w:szCs w:val="28"/>
        </w:rPr>
        <w:t>For</w:t>
      </w:r>
      <w:proofErr w:type="gramEnd"/>
      <w:r>
        <w:rPr>
          <w:rFonts w:eastAsia="Times New Roman"/>
          <w:sz w:val="28"/>
          <w:szCs w:val="28"/>
        </w:rPr>
        <w:t xml:space="preserve"> The Simultaneous Determination of Co-formulated Drugs in Pharmaceutical Formulation</w:t>
      </w:r>
    </w:p>
    <w:p w:rsidR="00A56E80" w:rsidRDefault="00A56E80">
      <w:pPr>
        <w:spacing w:line="288" w:lineRule="exact"/>
        <w:rPr>
          <w:sz w:val="24"/>
          <w:szCs w:val="24"/>
        </w:rPr>
      </w:pPr>
    </w:p>
    <w:p w:rsidR="00A56E80" w:rsidRDefault="00982D9F" w:rsidP="00982D9F">
      <w:pPr>
        <w:spacing w:line="249" w:lineRule="auto"/>
        <w:ind w:right="260"/>
        <w:rPr>
          <w:sz w:val="20"/>
          <w:szCs w:val="20"/>
        </w:rPr>
      </w:pPr>
      <w:r>
        <w:rPr>
          <w:rFonts w:eastAsia="Times New Roman"/>
          <w:sz w:val="23"/>
          <w:szCs w:val="23"/>
        </w:rPr>
        <w:t xml:space="preserve">Dina </w:t>
      </w:r>
      <w:proofErr w:type="spellStart"/>
      <w:r>
        <w:rPr>
          <w:rFonts w:eastAsia="Times New Roman"/>
          <w:sz w:val="23"/>
          <w:szCs w:val="23"/>
        </w:rPr>
        <w:t>A.El</w:t>
      </w:r>
      <w:proofErr w:type="spellEnd"/>
      <w:r>
        <w:rPr>
          <w:rFonts w:eastAsia="Times New Roman"/>
          <w:sz w:val="23"/>
          <w:szCs w:val="23"/>
        </w:rPr>
        <w:t xml:space="preserve"> </w:t>
      </w:r>
      <w:proofErr w:type="spellStart"/>
      <w:r>
        <w:rPr>
          <w:rFonts w:eastAsia="Times New Roman"/>
          <w:sz w:val="23"/>
          <w:szCs w:val="23"/>
        </w:rPr>
        <w:t>Mously,Nadia</w:t>
      </w:r>
      <w:proofErr w:type="spellEnd"/>
      <w:r>
        <w:rPr>
          <w:rFonts w:eastAsia="Times New Roman"/>
          <w:sz w:val="23"/>
          <w:szCs w:val="23"/>
        </w:rPr>
        <w:t xml:space="preserve"> </w:t>
      </w:r>
      <w:proofErr w:type="spellStart"/>
      <w:r>
        <w:rPr>
          <w:rFonts w:eastAsia="Times New Roman"/>
          <w:sz w:val="23"/>
          <w:szCs w:val="23"/>
        </w:rPr>
        <w:t>M.Mostafa</w:t>
      </w:r>
      <w:proofErr w:type="spellEnd"/>
      <w:r>
        <w:rPr>
          <w:rFonts w:eastAsia="Times New Roman"/>
          <w:sz w:val="23"/>
          <w:szCs w:val="23"/>
        </w:rPr>
        <w:t xml:space="preserve">, Ghada M.Elsayed, Nagiba Y. Hassan Analytical Chemistry Department, Faculty of Pharmacy, </w:t>
      </w:r>
      <w:r>
        <w:rPr>
          <w:rFonts w:eastAsia="Times New Roman"/>
          <w:sz w:val="23"/>
          <w:szCs w:val="23"/>
        </w:rPr>
        <w:t>Cairo University, Kasr El Aini, 11562</w:t>
      </w:r>
    </w:p>
    <w:p w:rsidR="00A56E80" w:rsidRDefault="00982D9F" w:rsidP="00982D9F">
      <w:pPr>
        <w:spacing w:line="232" w:lineRule="auto"/>
        <w:ind w:right="20"/>
        <w:rPr>
          <w:sz w:val="20"/>
          <w:szCs w:val="20"/>
        </w:rPr>
      </w:pPr>
      <w:r>
        <w:rPr>
          <w:rFonts w:eastAsia="Times New Roman"/>
          <w:sz w:val="24"/>
          <w:szCs w:val="24"/>
        </w:rPr>
        <w:t>Cairo, Egypt.</w:t>
      </w:r>
    </w:p>
    <w:p w:rsidR="00A56E80" w:rsidRDefault="00A56E80">
      <w:pPr>
        <w:spacing w:line="200" w:lineRule="exact"/>
        <w:rPr>
          <w:sz w:val="24"/>
          <w:szCs w:val="24"/>
        </w:rPr>
      </w:pPr>
    </w:p>
    <w:p w:rsidR="00A56E80" w:rsidRDefault="00A56E80">
      <w:pPr>
        <w:spacing w:line="200" w:lineRule="exact"/>
        <w:rPr>
          <w:sz w:val="24"/>
          <w:szCs w:val="24"/>
        </w:rPr>
      </w:pPr>
    </w:p>
    <w:p w:rsidR="00A56E80" w:rsidRDefault="00982D9F">
      <w:pPr>
        <w:spacing w:line="239" w:lineRule="auto"/>
        <w:jc w:val="both"/>
        <w:rPr>
          <w:sz w:val="20"/>
          <w:szCs w:val="20"/>
        </w:rPr>
      </w:pPr>
      <w:r>
        <w:rPr>
          <w:rFonts w:eastAsia="Times New Roman"/>
          <w:color w:val="222222"/>
          <w:sz w:val="24"/>
          <w:szCs w:val="24"/>
        </w:rPr>
        <w:t xml:space="preserve">Two simple and sensitive chromatographic methods were developed for the simultaneous determination of chlorpheniramine maleate, pseudoephedrine hydrochloride and propyphenazone </w:t>
      </w:r>
      <w:r>
        <w:rPr>
          <w:rFonts w:eastAsia="Times New Roman"/>
          <w:color w:val="000000"/>
          <w:sz w:val="24"/>
          <w:szCs w:val="24"/>
        </w:rPr>
        <w:t>in</w:t>
      </w:r>
      <w:r>
        <w:rPr>
          <w:rFonts w:eastAsia="Times New Roman"/>
          <w:color w:val="222222"/>
          <w:sz w:val="24"/>
          <w:szCs w:val="24"/>
        </w:rPr>
        <w:t xml:space="preserve"> </w:t>
      </w:r>
      <w:r>
        <w:rPr>
          <w:rFonts w:eastAsia="Times New Roman"/>
          <w:color w:val="000000"/>
          <w:sz w:val="24"/>
          <w:szCs w:val="24"/>
        </w:rPr>
        <w:t>their combined dosag</w:t>
      </w:r>
      <w:r>
        <w:rPr>
          <w:rFonts w:eastAsia="Times New Roman"/>
          <w:color w:val="000000"/>
          <w:sz w:val="24"/>
          <w:szCs w:val="24"/>
        </w:rPr>
        <w:t>e form</w:t>
      </w:r>
      <w:r>
        <w:rPr>
          <w:rFonts w:eastAsia="Times New Roman"/>
          <w:color w:val="222222"/>
          <w:sz w:val="24"/>
          <w:szCs w:val="24"/>
        </w:rPr>
        <w:t>. The first method was a reversed-phase high performance liquid</w:t>
      </w:r>
      <w:r>
        <w:rPr>
          <w:rFonts w:eastAsia="Times New Roman"/>
          <w:color w:val="000000"/>
          <w:sz w:val="24"/>
          <w:szCs w:val="24"/>
        </w:rPr>
        <w:t xml:space="preserve"> </w:t>
      </w:r>
      <w:r>
        <w:rPr>
          <w:rFonts w:eastAsia="Times New Roman"/>
          <w:color w:val="222222"/>
          <w:sz w:val="24"/>
          <w:szCs w:val="24"/>
        </w:rPr>
        <w:t xml:space="preserve">chromatography </w:t>
      </w:r>
      <w:r>
        <w:rPr>
          <w:rFonts w:eastAsia="Times New Roman"/>
          <w:color w:val="262626"/>
          <w:sz w:val="24"/>
          <w:szCs w:val="24"/>
        </w:rPr>
        <w:t>using</w:t>
      </w:r>
      <w:r>
        <w:rPr>
          <w:rFonts w:eastAsia="Times New Roman"/>
          <w:color w:val="222222"/>
          <w:sz w:val="24"/>
          <w:szCs w:val="24"/>
        </w:rPr>
        <w:t xml:space="preserve"> methanol: 0.02 M phosphate buffer pH 3.0: triethylamine (60: 40: 0.1, by volume) as a mobile phase. Separation was carried out using RP C</w:t>
      </w:r>
      <w:r>
        <w:rPr>
          <w:rFonts w:eastAsia="Times New Roman"/>
          <w:color w:val="222222"/>
          <w:sz w:val="16"/>
          <w:szCs w:val="16"/>
        </w:rPr>
        <w:t>18</w:t>
      </w:r>
      <w:r>
        <w:rPr>
          <w:rFonts w:eastAsia="Times New Roman"/>
          <w:color w:val="222222"/>
          <w:sz w:val="24"/>
          <w:szCs w:val="24"/>
        </w:rPr>
        <w:t xml:space="preserve"> analytical column (250 × </w:t>
      </w:r>
      <w:r>
        <w:rPr>
          <w:rFonts w:eastAsia="Times New Roman"/>
          <w:color w:val="222222"/>
          <w:sz w:val="24"/>
          <w:szCs w:val="24"/>
        </w:rPr>
        <w:t>4.6 mm, 5µm) and a flow rate of 1.0 mL/min. The separated peaks were detected at 215 nm. The second method was a thin layer chromatography-densitometric method, where the three drugs were separated on silica gel F</w:t>
      </w:r>
      <w:r>
        <w:rPr>
          <w:rFonts w:eastAsia="Times New Roman"/>
          <w:color w:val="222222"/>
          <w:sz w:val="16"/>
          <w:szCs w:val="16"/>
        </w:rPr>
        <w:t>254</w:t>
      </w:r>
      <w:r>
        <w:rPr>
          <w:rFonts w:eastAsia="Times New Roman"/>
          <w:color w:val="222222"/>
          <w:sz w:val="24"/>
          <w:szCs w:val="24"/>
        </w:rPr>
        <w:t xml:space="preserve"> plates using ethyl acetate: methanol: t</w:t>
      </w:r>
      <w:r>
        <w:rPr>
          <w:rFonts w:eastAsia="Times New Roman"/>
          <w:color w:val="222222"/>
          <w:sz w:val="24"/>
          <w:szCs w:val="24"/>
        </w:rPr>
        <w:t xml:space="preserve">oluene: 30% ammonia solution (7.5: 1: 1.5: 0.5, by volume) as a developing system. The separated bands were scanned at 215 nm. The suggested methods were validated according to the International Conference on Harmonization guidelines </w:t>
      </w:r>
      <w:r>
        <w:rPr>
          <w:rFonts w:eastAsia="Times New Roman"/>
          <w:color w:val="000000"/>
          <w:sz w:val="24"/>
          <w:szCs w:val="24"/>
        </w:rPr>
        <w:t>with good results</w:t>
      </w:r>
      <w:r>
        <w:rPr>
          <w:rFonts w:eastAsia="Times New Roman"/>
          <w:color w:val="222222"/>
          <w:sz w:val="24"/>
          <w:szCs w:val="24"/>
        </w:rPr>
        <w:t xml:space="preserve"> and </w:t>
      </w:r>
      <w:r>
        <w:rPr>
          <w:rFonts w:eastAsia="Times New Roman"/>
          <w:color w:val="222222"/>
          <w:sz w:val="24"/>
          <w:szCs w:val="24"/>
        </w:rPr>
        <w:t xml:space="preserve">they </w:t>
      </w:r>
      <w:r>
        <w:rPr>
          <w:rFonts w:eastAsia="Times New Roman"/>
          <w:color w:val="000000"/>
          <w:sz w:val="24"/>
          <w:szCs w:val="24"/>
        </w:rPr>
        <w:t>were successfully applied to pharmaceutical formulation</w:t>
      </w:r>
      <w:r>
        <w:rPr>
          <w:rFonts w:eastAsia="Times New Roman"/>
          <w:color w:val="222222"/>
          <w:sz w:val="24"/>
          <w:szCs w:val="24"/>
        </w:rPr>
        <w:t xml:space="preserve"> </w:t>
      </w:r>
      <w:r>
        <w:rPr>
          <w:rFonts w:eastAsia="Times New Roman"/>
          <w:color w:val="000000"/>
          <w:sz w:val="24"/>
          <w:szCs w:val="24"/>
        </w:rPr>
        <w:t xml:space="preserve">without interference from excipients. </w:t>
      </w:r>
      <w:r>
        <w:rPr>
          <w:rFonts w:eastAsia="Times New Roman"/>
          <w:color w:val="222222"/>
          <w:sz w:val="24"/>
          <w:szCs w:val="24"/>
        </w:rPr>
        <w:t>The proposed methods could be used for routine analysis of</w:t>
      </w:r>
      <w:r>
        <w:rPr>
          <w:rFonts w:eastAsia="Times New Roman"/>
          <w:color w:val="000000"/>
          <w:sz w:val="24"/>
          <w:szCs w:val="24"/>
        </w:rPr>
        <w:t xml:space="preserve"> </w:t>
      </w:r>
      <w:r>
        <w:rPr>
          <w:rFonts w:eastAsia="Times New Roman"/>
          <w:color w:val="222222"/>
          <w:sz w:val="24"/>
          <w:szCs w:val="24"/>
        </w:rPr>
        <w:t>the mentioned drugs in quality control laboratories.</w:t>
      </w:r>
    </w:p>
    <w:p w:rsidR="00A56E80" w:rsidRDefault="00A56E80">
      <w:pPr>
        <w:spacing w:line="200" w:lineRule="exact"/>
        <w:rPr>
          <w:sz w:val="24"/>
          <w:szCs w:val="24"/>
        </w:rPr>
      </w:pPr>
    </w:p>
    <w:p w:rsidR="00A56E80" w:rsidRDefault="00A56E80">
      <w:pPr>
        <w:spacing w:line="200" w:lineRule="exact"/>
        <w:rPr>
          <w:sz w:val="24"/>
          <w:szCs w:val="24"/>
        </w:rPr>
      </w:pPr>
    </w:p>
    <w:p w:rsidR="00A56E80" w:rsidRDefault="00982D9F">
      <w:pPr>
        <w:rPr>
          <w:sz w:val="20"/>
          <w:szCs w:val="20"/>
        </w:rPr>
      </w:pPr>
      <w:r>
        <w:rPr>
          <w:rFonts w:eastAsia="Times New Roman"/>
          <w:b/>
          <w:bCs/>
          <w:sz w:val="24"/>
          <w:szCs w:val="24"/>
        </w:rPr>
        <w:t>Biography</w:t>
      </w:r>
    </w:p>
    <w:p w:rsidR="00A56E80" w:rsidRDefault="00A56E80">
      <w:pPr>
        <w:spacing w:line="283" w:lineRule="exact"/>
        <w:rPr>
          <w:sz w:val="24"/>
          <w:szCs w:val="24"/>
        </w:rPr>
      </w:pPr>
    </w:p>
    <w:p w:rsidR="00A56E80" w:rsidRDefault="00982D9F">
      <w:pPr>
        <w:spacing w:line="237" w:lineRule="auto"/>
        <w:jc w:val="both"/>
        <w:rPr>
          <w:sz w:val="20"/>
          <w:szCs w:val="20"/>
        </w:rPr>
      </w:pPr>
      <w:r>
        <w:rPr>
          <w:rFonts w:eastAsia="Times New Roman"/>
          <w:sz w:val="24"/>
          <w:szCs w:val="24"/>
        </w:rPr>
        <w:t xml:space="preserve">Dina A.El Mously is an </w:t>
      </w:r>
      <w:r>
        <w:rPr>
          <w:rFonts w:eastAsia="Times New Roman"/>
          <w:sz w:val="24"/>
          <w:szCs w:val="24"/>
        </w:rPr>
        <w:t>assistant lecturer in the analytical chemistry department at faculty of pharmacy, Cairo University.She had her bachelor of pharmaceutical sciences from the same university. Her research interests are focused on developing the new analytical methods for the</w:t>
      </w:r>
      <w:r>
        <w:rPr>
          <w:rFonts w:eastAsia="Times New Roman"/>
          <w:sz w:val="24"/>
          <w:szCs w:val="24"/>
        </w:rPr>
        <w:t xml:space="preserve"> determination and quantification of different analytes. She has recently published two scientific papers in different reputed journals.</w:t>
      </w:r>
    </w:p>
    <w:p w:rsidR="00A56E80" w:rsidRDefault="00A56E80">
      <w:pPr>
        <w:spacing w:line="10" w:lineRule="exact"/>
        <w:rPr>
          <w:sz w:val="24"/>
          <w:szCs w:val="24"/>
        </w:rPr>
      </w:pPr>
    </w:p>
    <w:p w:rsidR="00A56E80" w:rsidRDefault="00982D9F">
      <w:pPr>
        <w:rPr>
          <w:sz w:val="20"/>
          <w:szCs w:val="20"/>
        </w:rPr>
      </w:pPr>
      <w:r>
        <w:rPr>
          <w:rFonts w:eastAsia="Times New Roman"/>
          <w:sz w:val="24"/>
          <w:szCs w:val="24"/>
        </w:rPr>
        <w:t xml:space="preserve">                                                                                                               </w:t>
      </w:r>
      <w:bookmarkStart w:id="0" w:name="_GoBack"/>
      <w:bookmarkEnd w:id="0"/>
      <w:r>
        <w:rPr>
          <w:rFonts w:eastAsia="Times New Roman"/>
          <w:sz w:val="24"/>
          <w:szCs w:val="24"/>
        </w:rPr>
        <w:t>dina.abbas@pharma.cu.edu.eg</w:t>
      </w:r>
    </w:p>
    <w:sectPr w:rsidR="00A56E80">
      <w:pgSz w:w="11900" w:h="16838"/>
      <w:pgMar w:top="1440" w:right="1126" w:bottom="1440" w:left="1140" w:header="0" w:footer="0" w:gutter="0"/>
      <w:cols w:space="720" w:equalWidth="0">
        <w:col w:w="9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80"/>
    <w:rsid w:val="00982D9F"/>
    <w:rsid w:val="00A5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europhysics</cp:lastModifiedBy>
  <cp:revision>2</cp:revision>
  <dcterms:created xsi:type="dcterms:W3CDTF">2019-06-26T22:36:00Z</dcterms:created>
  <dcterms:modified xsi:type="dcterms:W3CDTF">2019-07-09T09:08:00Z</dcterms:modified>
</cp:coreProperties>
</file>