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0534A1">
      <w:pPr>
        <w:pStyle w:val="Heading1"/>
        <w:spacing w:before="170"/>
        <w:ind w:left="0"/>
        <w:jc w:val="both"/>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Deanna L Mulvihill, RN PhD, TLI Foundation, USA Deanna L Mulvihill, RN PhD, TLI Foundation, USA</w:t>
      </w:r>
    </w:p>
    <w:p w:rsidR="00AE3E37" w:rsidRDefault="00AE3E37">
      <w:pPr>
        <w:pStyle w:val="BodyText"/>
        <w:rPr>
          <w:rFonts w:ascii="Arial"/>
          <w:sz w:val="20"/>
        </w:rPr>
      </w:pPr>
    </w:p>
    <w:p w:rsidR="00AE3E37" w:rsidRDefault="00AE3E37">
      <w:pPr>
        <w:rPr>
          <w:rFonts w:ascii="Arial"/>
          <w:sz w:val="21"/>
        </w:rPr>
        <w:sectPr w:rsidR="00AE3E37" w:rsidSect="008E5477">
          <w:footerReference w:type="default" r:id="rId8"/>
          <w:type w:val="continuous"/>
          <w:pgSz w:w="11910" w:h="16840"/>
          <w:pgMar w:top="995" w:right="600" w:bottom="840" w:left="620" w:header="0" w:footer="0" w:gutter="0"/>
          <w:cols w:space="720"/>
          <w:docGrid w:linePitch="299"/>
        </w:sectPr>
      </w:pPr>
    </w:p>
    <w:p w:rsidR="00AE3E37" w:rsidRDefault="00A9710C">
      <w:pPr>
        <w:pStyle w:val="Heading3"/>
        <w:spacing w:before="147"/>
        <w:jc w:val="both"/>
      </w:pPr>
      <w:r>
        <w:rPr>
          <w:color w:val="BF5A14"/>
        </w:rPr>
        <w:lastRenderedPageBreak/>
        <w:t>Abstract</w:t>
      </w:r>
      <w:r w:rsidR="00A36703">
        <w:rPr>
          <w:color w:val="BF5A14"/>
        </w:rPr>
        <w:t xml:space="preserve"> (20</w:t>
      </w:r>
      <w:r w:rsidR="00404E5B">
        <w:rPr>
          <w:color w:val="BF5A14"/>
        </w:rPr>
        <w:t>00 word limit)</w:t>
      </w:r>
    </w:p>
    <w:p w:rsidR="00AE3E37" w:rsidRDefault="00A9710C" w:rsidP="00A3146F">
      <w:pPr>
        <w:pStyle w:val="BodyText"/>
        <w:spacing w:before="90"/>
        <w:ind w:left="100"/>
        <w:jc w:val="both"/>
      </w:pPr>
      <w:r>
        <w:t>Statement of the Problem: Women who have experienced intimate partnerviolence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6703" w:rsidRDefault="00A9710C" w:rsidP="00A3146F">
      <w:pPr>
        <w:pStyle w:val="Heading3"/>
        <w:spacing w:before="74"/>
        <w:ind w:left="0"/>
        <w:jc w:val="both"/>
        <w:rPr>
          <w:b w:val="0"/>
        </w:rPr>
      </w:pPr>
      <w:r>
        <w:rPr>
          <w:b w:val="0"/>
        </w:rPr>
        <w:br w:type="column"/>
      </w:r>
    </w:p>
    <w:p w:rsidR="00A3146F" w:rsidRPr="00A3146F" w:rsidRDefault="00A3146F" w:rsidP="00A3146F">
      <w:pPr>
        <w:pStyle w:val="Heading3"/>
        <w:spacing w:before="74"/>
        <w:ind w:left="0"/>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w:t>
      </w:r>
      <w:proofErr w:type="gramStart"/>
      <w:r w:rsidRPr="00A3146F">
        <w:rPr>
          <w:rFonts w:ascii="Tw Cen MT" w:eastAsia="Tw Cen MT" w:hAnsi="Tw Cen MT" w:cs="Tw Cen MT"/>
          <w:b w:val="0"/>
          <w:bCs w:val="0"/>
          <w:sz w:val="18"/>
          <w:szCs w:val="18"/>
        </w:rPr>
        <w:t>dependency</w:t>
      </w:r>
      <w:proofErr w:type="gramEnd"/>
      <w:r w:rsidRPr="00A3146F">
        <w:rPr>
          <w:rFonts w:ascii="Tw Cen MT" w:eastAsia="Tw Cen MT" w:hAnsi="Tw Cen MT" w:cs="Tw Cen MT"/>
          <w:b w:val="0"/>
          <w:bCs w:val="0"/>
          <w:sz w:val="18"/>
          <w:szCs w:val="18"/>
        </w:rPr>
        <w:t xml:space="preserve">.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w:t>
      </w:r>
      <w:r w:rsidRPr="00A3146F">
        <w:rPr>
          <w:rFonts w:ascii="Tw Cen MT" w:eastAsia="Tw Cen MT" w:hAnsi="Tw Cen MT" w:cs="Tw Cen MT"/>
          <w:b w:val="0"/>
          <w:bCs w:val="0"/>
          <w:sz w:val="18"/>
          <w:szCs w:val="18"/>
        </w:rPr>
        <w:lastRenderedPageBreak/>
        <w:t xml:space="preserve">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 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w:t>
      </w:r>
      <w:r w:rsidRPr="00A3146F">
        <w:rPr>
          <w:rFonts w:ascii="Tw Cen MT" w:eastAsia="Tw Cen MT" w:hAnsi="Tw Cen MT" w:cs="Tw Cen MT"/>
          <w:b w:val="0"/>
          <w:bCs w:val="0"/>
          <w:sz w:val="18"/>
          <w:szCs w:val="18"/>
        </w:rPr>
        <w:lastRenderedPageBreak/>
        <w:t>do not always recognize their calls for help or their symptoms of distress. Recommendations are made for treatment centers to become trauma- informed that would help this recognition.</w:t>
      </w:r>
    </w:p>
    <w:p w:rsidR="00AE3E37" w:rsidRDefault="00A9710C">
      <w:pPr>
        <w:pStyle w:val="Heading3"/>
        <w:spacing w:before="74"/>
      </w:pPr>
      <w:r>
        <w:rPr>
          <w:color w:val="BF5A14"/>
        </w:rPr>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14:anchorId="5D565720" wp14:editId="545952D2">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braindamage. Alcohol Alcohol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r>
        <w:rPr>
          <w:sz w:val="18"/>
        </w:rPr>
        <w:t>LiX, SchwachaMG, ChaudryIH, ChoudhryMA (2008</w:t>
      </w:r>
      <w:r w:rsidR="00F35A62">
        <w:rPr>
          <w:sz w:val="18"/>
        </w:rPr>
        <w:t>) Acutealcohol</w:t>
      </w:r>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Room R, Babor</w:t>
      </w:r>
      <w:r>
        <w:rPr>
          <w:spacing w:val="-10"/>
          <w:sz w:val="18"/>
        </w:rPr>
        <w:t xml:space="preserve">T,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w:t>
      </w:r>
      <w:r w:rsidR="00F35A62">
        <w:rPr>
          <w:rFonts w:ascii="Calibri" w:hAnsi="Calibri"/>
        </w:rPr>
        <w:t>in alcoholism</w:t>
      </w:r>
      <w:r>
        <w:rPr>
          <w:rFonts w:ascii="Calibri" w:hAnsi="Calibri"/>
        </w:rPr>
        <w:t xml:space="preserve">:  </w:t>
      </w:r>
      <w:r w:rsidR="00F35A62">
        <w:rPr>
          <w:rFonts w:ascii="Calibri" w:hAnsi="Calibri"/>
        </w:rPr>
        <w:t>Commentary on “Increased MCP</w:t>
      </w:r>
      <w:r>
        <w:rPr>
          <w:rFonts w:ascii="Calibri" w:hAnsi="Calibri"/>
        </w:rPr>
        <w:t xml:space="preserve">-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rsidSect="008E5477">
          <w:type w:val="continuous"/>
          <w:pgSz w:w="11910" w:h="16840"/>
          <w:pgMar w:top="995"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0964C96A" wp14:editId="7A8FABFD">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A52075" w:rsidP="00404E5B">
      <w:pPr>
        <w:spacing w:before="92"/>
        <w:ind w:right="4234"/>
        <w:rPr>
          <w:rFonts w:ascii="Arial"/>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0BA6DCA3" wp14:editId="1B6B0354">
                <wp:simplePos x="0" y="0"/>
                <wp:positionH relativeFrom="column">
                  <wp:posOffset>5655945</wp:posOffset>
                </wp:positionH>
                <wp:positionV relativeFrom="paragraph">
                  <wp:posOffset>56515</wp:posOffset>
                </wp:positionV>
                <wp:extent cx="1012190" cy="570230"/>
                <wp:effectExtent l="19050" t="19050" r="16510"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7023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075" w:rsidRDefault="00A52075" w:rsidP="00A52075">
                            <w:pPr>
                              <w:rPr>
                                <w:b/>
                                <w:color w:val="0000FF"/>
                                <w:lang w:val="en-IN"/>
                              </w:rPr>
                            </w:pPr>
                            <w:r>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445.35pt;margin-top:4.45pt;width:79.7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" strokecolor="#9bbb59" strokeweight="2.5pt">
                <v:shadow color="#868686"/>
                <v:textbox>
                  <w:txbxContent>
                    <w:p w:rsidR="00A52075" w:rsidRDefault="00A52075" w:rsidP="00A52075">
                      <w:pPr>
                        <w:rPr>
                          <w:b/>
                          <w:color w:val="0000FF"/>
                          <w:lang w:val="en-IN"/>
                        </w:rPr>
                      </w:pPr>
                      <w:r>
                        <w:rPr>
                          <w:b/>
                          <w:color w:val="0000FF"/>
                          <w:lang w:val="en-IN"/>
                        </w:rPr>
                        <w:t>Paste your Logo here</w:t>
                      </w:r>
                    </w:p>
                  </w:txbxContent>
                </v:textbox>
              </v:roundrect>
            </w:pict>
          </mc:Fallback>
        </mc:AlternateContent>
      </w:r>
      <w:r w:rsidR="008756E6">
        <w:rPr>
          <w:noProof/>
        </w:rPr>
        <w:t xml:space="preserve">              </w:t>
      </w:r>
      <w:r w:rsidR="008756E6">
        <w:rPr>
          <w:noProof/>
          <w:lang w:val="en-IN" w:eastAsia="en-IN"/>
        </w:rPr>
        <w:drawing>
          <wp:inline distT="0" distB="0" distL="0" distR="0" wp14:anchorId="302CC0A0" wp14:editId="3FE6977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3146F">
        <w:rPr>
          <w:noProof/>
        </w:rPr>
        <w:t xml:space="preserve"> </w:t>
      </w:r>
      <w:r w:rsidR="00A9710C">
        <w:rPr>
          <w:rFonts w:ascii="Arial"/>
          <w:color w:val="BF5A14"/>
        </w:rPr>
        <w:t>Biography</w:t>
      </w:r>
      <w:r w:rsidR="00404E5B">
        <w:rPr>
          <w:rFonts w:ascii="Arial"/>
          <w:color w:val="BF5A14"/>
        </w:rPr>
        <w:t xml:space="preserve"> (150 word limit)</w:t>
      </w:r>
      <w:r w:rsidRPr="00A52075">
        <w:rPr>
          <w:rFonts w:ascii="Times New Roman" w:hAnsi="Times New Roman" w:cs="Times New Roman"/>
          <w:sz w:val="24"/>
          <w:szCs w:val="24"/>
        </w:rPr>
        <w:t xml:space="preserve"> </w:t>
      </w:r>
    </w:p>
    <w:p w:rsidR="00AE3E37" w:rsidRDefault="00A9710C">
      <w:pPr>
        <w:spacing w:before="41" w:line="154" w:lineRule="exact"/>
        <w:ind w:left="213" w:right="231"/>
        <w:jc w:val="both"/>
        <w:rPr>
          <w:rFonts w:ascii="Arial"/>
          <w:sz w:val="14"/>
        </w:rPr>
      </w:pPr>
      <w:r>
        <w:rPr>
          <w:rFonts w:ascii="Arial"/>
          <w:sz w:val="14"/>
        </w:rPr>
        <w:t>Deanna Mulvihill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sidR="00380299">
        <w:rPr>
          <w:rFonts w:ascii="Arial"/>
          <w:sz w:val="14"/>
        </w:rPr>
        <w:t>administration both</w:t>
      </w:r>
      <w:r>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1"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14:anchorId="46D2153F" wp14:editId="0485EA88">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9710C" w:rsidP="00A3146F">
      <w:pPr>
        <w:spacing w:before="39"/>
        <w:rPr>
          <w:rFonts w:ascii="Minion Pro"/>
          <w:b/>
          <w:sz w:val="20"/>
        </w:rPr>
      </w:pPr>
      <w:r w:rsidRPr="00B21A57">
        <w:rPr>
          <w:rFonts w:ascii="Minion Pro"/>
          <w:b/>
          <w:sz w:val="20"/>
        </w:rPr>
        <w:t>Notes/Comments:</w:t>
      </w:r>
    </w:p>
    <w:p w:rsidR="00EA7D51" w:rsidRDefault="00EA7D51" w:rsidP="000534A1">
      <w:pPr>
        <w:spacing w:before="39"/>
        <w:ind w:left="100"/>
        <w:rPr>
          <w:rFonts w:ascii="Minion Pro"/>
          <w:b/>
          <w:sz w:val="20"/>
        </w:rPr>
      </w:pPr>
    </w:p>
    <w:p w:rsidR="00EA7D51" w:rsidRDefault="00EA7D51" w:rsidP="000534A1">
      <w:pPr>
        <w:spacing w:before="39"/>
        <w:ind w:left="100"/>
        <w:rPr>
          <w:rFonts w:ascii="Minion Pro"/>
          <w:b/>
          <w:sz w:val="20"/>
        </w:rPr>
      </w:pPr>
    </w:p>
    <w:p w:rsidR="00EA7D51" w:rsidRPr="00F35A62" w:rsidRDefault="00EA7D51" w:rsidP="00EA7D51">
      <w:pPr>
        <w:autoSpaceDE w:val="0"/>
        <w:autoSpaceDN w:val="0"/>
        <w:adjustRightInd w:val="0"/>
        <w:rPr>
          <w:b/>
          <w:sz w:val="20"/>
          <w:szCs w:val="20"/>
          <w:lang w:val="en-NZ"/>
        </w:rPr>
      </w:pPr>
      <w:r w:rsidRPr="00F35A62">
        <w:rPr>
          <w:b/>
          <w:sz w:val="20"/>
          <w:szCs w:val="20"/>
          <w:lang w:val="en-NZ"/>
        </w:rPr>
        <w:t xml:space="preserve">Presenting author details </w:t>
      </w:r>
      <w:r w:rsidRPr="00F35A62">
        <w:rPr>
          <w:b/>
          <w:sz w:val="20"/>
          <w:szCs w:val="20"/>
          <w:lang w:val="en-NZ"/>
        </w:rPr>
        <w:br/>
      </w:r>
      <w:r w:rsidRPr="00F35A62">
        <w:rPr>
          <w:sz w:val="20"/>
          <w:szCs w:val="20"/>
          <w:lang w:val="en-NZ"/>
        </w:rPr>
        <w:t xml:space="preserve">Full name: </w:t>
      </w:r>
      <w:r w:rsidRPr="00F35A62">
        <w:rPr>
          <w:sz w:val="20"/>
          <w:szCs w:val="20"/>
          <w:lang w:val="en-NZ"/>
        </w:rPr>
        <w:br/>
        <w:t>Contact number</w:t>
      </w:r>
      <w:proofErr w:type="gramStart"/>
      <w:r w:rsidRPr="00F35A62">
        <w:rPr>
          <w:sz w:val="20"/>
          <w:szCs w:val="20"/>
          <w:lang w:val="en-NZ"/>
        </w:rPr>
        <w:t>:</w:t>
      </w:r>
      <w:proofErr w:type="gramEnd"/>
      <w:r w:rsidRPr="00F35A62">
        <w:rPr>
          <w:sz w:val="20"/>
          <w:szCs w:val="20"/>
          <w:lang w:val="en-NZ"/>
        </w:rPr>
        <w:br/>
        <w:t>Twitter account:</w:t>
      </w:r>
      <w:r w:rsidRPr="00F35A62">
        <w:rPr>
          <w:sz w:val="20"/>
          <w:szCs w:val="20"/>
          <w:lang w:val="en-NZ"/>
        </w:rPr>
        <w:br/>
        <w:t>Linked In account:</w:t>
      </w:r>
    </w:p>
    <w:p w:rsidR="00EA7D51" w:rsidRPr="00A3146F" w:rsidRDefault="00EA7D51" w:rsidP="00A3146F">
      <w:pPr>
        <w:autoSpaceDE w:val="0"/>
        <w:autoSpaceDN w:val="0"/>
        <w:adjustRightInd w:val="0"/>
        <w:rPr>
          <w:sz w:val="20"/>
          <w:szCs w:val="20"/>
          <w:lang w:val="en-NZ"/>
        </w:rPr>
        <w:sectPr w:rsidR="00EA7D51" w:rsidRPr="00A3146F" w:rsidSect="008E5477">
          <w:type w:val="continuous"/>
          <w:pgSz w:w="11910" w:h="16840"/>
          <w:pgMar w:top="995" w:right="600" w:bottom="840" w:left="620" w:header="720" w:footer="720" w:gutter="0"/>
          <w:cols w:space="720"/>
        </w:sectPr>
      </w:pPr>
      <w:r w:rsidRPr="00F35A62">
        <w:rPr>
          <w:sz w:val="20"/>
          <w:szCs w:val="20"/>
          <w:lang w:val="en-NZ"/>
        </w:rPr>
        <w:t xml:space="preserve">Session name/ number: </w:t>
      </w:r>
      <w:r w:rsidRPr="00F35A62">
        <w:rPr>
          <w:sz w:val="20"/>
          <w:szCs w:val="20"/>
          <w:lang w:val="en-NZ"/>
        </w:rPr>
        <w:br/>
        <w:t>Category: (Oral pre</w:t>
      </w:r>
      <w:r w:rsidR="00A3146F">
        <w:rPr>
          <w:sz w:val="20"/>
          <w:szCs w:val="20"/>
          <w:lang w:val="en-NZ"/>
        </w:rPr>
        <w:t>sentation/ Poster presentatio</w:t>
      </w:r>
      <w:r w:rsidR="00245A49">
        <w:rPr>
          <w:sz w:val="20"/>
          <w:szCs w:val="20"/>
          <w:lang w:val="en-NZ"/>
        </w:rPr>
        <w:t>n</w:t>
      </w:r>
    </w:p>
    <w:p w:rsidR="00AE3E37" w:rsidRDefault="00AE3E37" w:rsidP="00475D20">
      <w:pPr>
        <w:jc w:val="both"/>
        <w:rPr>
          <w:rFonts w:ascii="Minion Pro"/>
          <w:sz w:val="26"/>
        </w:rPr>
      </w:pPr>
    </w:p>
    <w:sectPr w:rsidR="00AE3E37" w:rsidSect="00F046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36" w:rsidRDefault="00254F36">
      <w:r>
        <w:separator/>
      </w:r>
    </w:p>
  </w:endnote>
  <w:endnote w:type="continuationSeparator" w:id="0">
    <w:p w:rsidR="00254F36" w:rsidRDefault="0025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14:anchorId="16353DE7" wp14:editId="13948350">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ISSN: 2167-0846 JPAR an open access journa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CF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14:anchorId="437E56F9" wp14:editId="60DB7029">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lo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Dm1GWi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5D6ACFB3" wp14:editId="65AEFB1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Kd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Puxsp2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36" w:rsidRDefault="00254F36">
      <w:r>
        <w:separator/>
      </w:r>
    </w:p>
  </w:footnote>
  <w:footnote w:type="continuationSeparator" w:id="0">
    <w:p w:rsidR="00254F36" w:rsidRDefault="00254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34A1"/>
    <w:rsid w:val="0006797A"/>
    <w:rsid w:val="000B4CAA"/>
    <w:rsid w:val="000E2911"/>
    <w:rsid w:val="001263DF"/>
    <w:rsid w:val="001E37FA"/>
    <w:rsid w:val="00245A49"/>
    <w:rsid w:val="00254F36"/>
    <w:rsid w:val="00292ED9"/>
    <w:rsid w:val="00351D9B"/>
    <w:rsid w:val="00380299"/>
    <w:rsid w:val="00404E5B"/>
    <w:rsid w:val="00414F7B"/>
    <w:rsid w:val="004355DC"/>
    <w:rsid w:val="004749B4"/>
    <w:rsid w:val="00475D20"/>
    <w:rsid w:val="00494130"/>
    <w:rsid w:val="004F3523"/>
    <w:rsid w:val="00590D60"/>
    <w:rsid w:val="005973B9"/>
    <w:rsid w:val="005B3A56"/>
    <w:rsid w:val="006060CE"/>
    <w:rsid w:val="0061505C"/>
    <w:rsid w:val="0063497F"/>
    <w:rsid w:val="00714354"/>
    <w:rsid w:val="008602FB"/>
    <w:rsid w:val="00873DF0"/>
    <w:rsid w:val="008756E6"/>
    <w:rsid w:val="00897EC5"/>
    <w:rsid w:val="008A0763"/>
    <w:rsid w:val="008E5477"/>
    <w:rsid w:val="009B2D44"/>
    <w:rsid w:val="00A07E82"/>
    <w:rsid w:val="00A3146F"/>
    <w:rsid w:val="00A36703"/>
    <w:rsid w:val="00A52075"/>
    <w:rsid w:val="00A763A3"/>
    <w:rsid w:val="00A9710C"/>
    <w:rsid w:val="00AE3E37"/>
    <w:rsid w:val="00B21A57"/>
    <w:rsid w:val="00BE6743"/>
    <w:rsid w:val="00C33602"/>
    <w:rsid w:val="00C56C74"/>
    <w:rsid w:val="00CD6F55"/>
    <w:rsid w:val="00DE3104"/>
    <w:rsid w:val="00DE6170"/>
    <w:rsid w:val="00DF0C19"/>
    <w:rsid w:val="00E30AAC"/>
    <w:rsid w:val="00E95D97"/>
    <w:rsid w:val="00EA7D51"/>
    <w:rsid w:val="00F046EA"/>
    <w:rsid w:val="00F312EA"/>
    <w:rsid w:val="00F35A62"/>
    <w:rsid w:val="00F72EEA"/>
    <w:rsid w:val="00F84CAE"/>
    <w:rsid w:val="00F871AD"/>
    <w:rsid w:val="00FA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omics</cp:lastModifiedBy>
  <cp:revision>2</cp:revision>
  <dcterms:created xsi:type="dcterms:W3CDTF">2022-11-11T14:34:00Z</dcterms:created>
  <dcterms:modified xsi:type="dcterms:W3CDTF">2022-11-11T14:34:00Z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