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236" w:rsidRPr="00925236" w:rsidRDefault="00A9710C" w:rsidP="00494130">
      <w:pPr>
        <w:pStyle w:val="Heading1"/>
        <w:spacing w:before="170"/>
        <w:ind w:left="0"/>
        <w:rPr>
          <w:color w:val="337AB7"/>
        </w:rPr>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Deanna L Mulvihill, RN PhD, TLI Foundation, USA Deanna L Mulvihill,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Statement of the Problem: Women who have experienced intimate partnerviolence</w:t>
      </w:r>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An </w:t>
      </w:r>
      <w:r>
        <w:t>inter</w:t>
      </w:r>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r w:rsidRPr="005973B9">
        <w:rPr>
          <w:sz w:val="18"/>
        </w:rPr>
        <w:t>The neuropathology of alcohol-related braindamage. Alcohol Alcohol 44:136-140.</w:t>
      </w:r>
    </w:p>
    <w:p w:rsidR="005973B9" w:rsidRDefault="005973B9" w:rsidP="005973B9">
      <w:pPr>
        <w:pStyle w:val="ListParagraph"/>
        <w:numPr>
          <w:ilvl w:val="0"/>
          <w:numId w:val="3"/>
        </w:numPr>
        <w:tabs>
          <w:tab w:val="left" w:pos="384"/>
        </w:tabs>
        <w:spacing w:line="216" w:lineRule="exact"/>
        <w:ind w:right="137" w:hanging="283"/>
        <w:rPr>
          <w:sz w:val="18"/>
        </w:rPr>
      </w:pPr>
      <w:r>
        <w:rPr>
          <w:sz w:val="18"/>
        </w:rPr>
        <w:t xml:space="preserve">Heilig M, Egli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r>
        <w:rPr>
          <w:sz w:val="18"/>
        </w:rPr>
        <w:t>LiX, SchwachaMG, ChaudryIH, ChoudhryMA (2008)Acutealcohol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Room R, Babor</w:t>
      </w:r>
      <w:r>
        <w:rPr>
          <w:spacing w:val="-10"/>
          <w:sz w:val="18"/>
        </w:rPr>
        <w:t xml:space="preserve">T, </w:t>
      </w:r>
      <w:r>
        <w:rPr>
          <w:sz w:val="18"/>
        </w:rPr>
        <w:t xml:space="preserve">Rehm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r>
        <w:rPr>
          <w:rFonts w:ascii="Calibri" w:hAnsi="Calibri"/>
        </w:rPr>
        <w:t xml:space="preserve">Zahr NM (2008) Neuroinflammation as a neurotoxic mechanism in  alcoholism: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925236" w:rsidRDefault="008756E6" w:rsidP="00925236">
      <w:pPr>
        <w:spacing w:before="92"/>
        <w:ind w:right="4234"/>
        <w:jc w:val="both"/>
        <w:rPr>
          <w:noProof/>
        </w:rPr>
      </w:pPr>
      <w:r>
        <w:rPr>
          <w:noProof/>
        </w:rPr>
        <w:t xml:space="preserve">              </w:t>
      </w:r>
      <w:r>
        <w:rPr>
          <w:noProof/>
          <w:lang w:val="en-IN" w:eastAsia="en-IN"/>
        </w:rPr>
        <w:drawing>
          <wp:inline distT="0" distB="0" distL="0" distR="0" wp14:anchorId="1B650C0E" wp14:editId="0E8C3C7F">
            <wp:extent cx="753465" cy="621792"/>
            <wp:effectExtent l="0" t="0" r="8890" b="6985"/>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7436" cy="625069"/>
                    </a:xfrm>
                    <a:prstGeom prst="rect">
                      <a:avLst/>
                    </a:prstGeom>
                    <a:noFill/>
                    <a:ln>
                      <a:noFill/>
                    </a:ln>
                  </pic:spPr>
                </pic:pic>
              </a:graphicData>
            </a:graphic>
          </wp:inline>
        </w:drawing>
      </w:r>
      <w:r w:rsidR="00802E3F">
        <w:rPr>
          <w:noProof/>
        </w:rPr>
        <w:t xml:space="preserve"> </w:t>
      </w:r>
    </w:p>
    <w:p w:rsidR="00AE3E37" w:rsidRDefault="00925236" w:rsidP="00404E5B">
      <w:pPr>
        <w:spacing w:before="92"/>
        <w:ind w:right="4234"/>
        <w:rPr>
          <w:rFonts w:ascii="Arial"/>
        </w:rPr>
      </w:pPr>
      <w:r>
        <w:rPr>
          <w:noProof/>
        </w:rPr>
        <w:t xml:space="preserve">    </w:t>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Deanna Mulvihill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r>
        <w:rPr>
          <w:rFonts w:ascii="Arial"/>
          <w:sz w:val="14"/>
        </w:rPr>
        <w:t xml:space="preserve">administration </w:t>
      </w:r>
      <w:r w:rsidR="000E2911">
        <w:rPr>
          <w:rFonts w:ascii="Arial"/>
          <w:sz w:val="14"/>
        </w:rPr>
        <w:t xml:space="preserve"> </w:t>
      </w:r>
      <w:r>
        <w:rPr>
          <w:rFonts w:ascii="Arial"/>
          <w:sz w:val="14"/>
        </w:rPr>
        <w:t>both in hospital and education institutions. The foundation is based on fourth generation evaluation (Guba&amp;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2F0" w:rsidRDefault="000052F0">
      <w:r>
        <w:separator/>
      </w:r>
    </w:p>
  </w:endnote>
  <w:endnote w:type="continuationSeparator" w:id="0">
    <w:p w:rsidR="000052F0" w:rsidRDefault="00005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ISSN: 2167-0846 JPAR an open access journa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3(Suppl)</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2F0" w:rsidRDefault="000052F0">
      <w:r>
        <w:separator/>
      </w:r>
    </w:p>
  </w:footnote>
  <w:footnote w:type="continuationSeparator" w:id="0">
    <w:p w:rsidR="000052F0" w:rsidRDefault="000052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AE3E37">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052F0"/>
    <w:rsid w:val="000C329C"/>
    <w:rsid w:val="000E2911"/>
    <w:rsid w:val="001263DF"/>
    <w:rsid w:val="00292ED9"/>
    <w:rsid w:val="00404E5B"/>
    <w:rsid w:val="00414F7B"/>
    <w:rsid w:val="004355DC"/>
    <w:rsid w:val="004749B4"/>
    <w:rsid w:val="00494130"/>
    <w:rsid w:val="004F3523"/>
    <w:rsid w:val="005973B9"/>
    <w:rsid w:val="005B3A56"/>
    <w:rsid w:val="006060CE"/>
    <w:rsid w:val="0063497F"/>
    <w:rsid w:val="00802E3F"/>
    <w:rsid w:val="00830E07"/>
    <w:rsid w:val="00873DF0"/>
    <w:rsid w:val="008756E6"/>
    <w:rsid w:val="00925236"/>
    <w:rsid w:val="009B2D44"/>
    <w:rsid w:val="00A07E82"/>
    <w:rsid w:val="00A9710C"/>
    <w:rsid w:val="00AE3E37"/>
    <w:rsid w:val="00B21A57"/>
    <w:rsid w:val="00B91720"/>
    <w:rsid w:val="00C33602"/>
    <w:rsid w:val="00CD6F55"/>
    <w:rsid w:val="00DE3104"/>
    <w:rsid w:val="00E752B4"/>
    <w:rsid w:val="00F55252"/>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Words>
  <Characters>3137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omics</cp:lastModifiedBy>
  <cp:revision>2</cp:revision>
  <dcterms:created xsi:type="dcterms:W3CDTF">2020-12-31T06:05:00Z</dcterms:created>
  <dcterms:modified xsi:type="dcterms:W3CDTF">2020-12-31T06:05:00Z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