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494130">
      <w:pPr>
        <w:pStyle w:val="Heading1"/>
        <w:spacing w:before="170"/>
        <w:ind w:left="0"/>
      </w:pPr>
      <w:bookmarkStart w:id="0" w:name="_GoBack"/>
      <w:bookmarkEnd w:id="0"/>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RN PhD, TLI Foundation, USA Deanna L </w:t>
      </w:r>
      <w:proofErr w:type="spellStart"/>
      <w:r>
        <w:rPr>
          <w:rFonts w:ascii="Arial"/>
        </w:rPr>
        <w:t>Mulvihill</w:t>
      </w:r>
      <w:proofErr w:type="spellEnd"/>
      <w:r>
        <w:rPr>
          <w:rFonts w:ascii="Arial"/>
        </w:rPr>
        <w:t>, RN PhD, TLI Foundation, USA</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mechanism </w:t>
      </w:r>
      <w:proofErr w:type="gramStart"/>
      <w:r>
        <w:rPr>
          <w:rFonts w:ascii="Calibri" w:hAnsi="Calibri"/>
        </w:rPr>
        <w:t>in  alcoholism</w:t>
      </w:r>
      <w:proofErr w:type="gramEnd"/>
      <w:r>
        <w:rPr>
          <w:rFonts w:ascii="Calibri" w:hAnsi="Calibri"/>
        </w:rPr>
        <w:t xml:space="preserve">: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8756E6" w:rsidP="00404E5B">
      <w:pPr>
        <w:spacing w:before="92"/>
        <w:ind w:right="4234"/>
        <w:rPr>
          <w:rFonts w:ascii="Arial"/>
        </w:rPr>
      </w:pPr>
      <w:r>
        <w:rPr>
          <w:noProof/>
        </w:rPr>
        <w:t xml:space="preserve">              </w:t>
      </w:r>
      <w:r>
        <w:rPr>
          <w:noProof/>
          <w:lang w:val="en-IN" w:eastAsia="en-IN"/>
        </w:rPr>
        <w:drawing>
          <wp:inline distT="0" distB="0" distL="0" distR="0" wp14:anchorId="1B650C0E" wp14:editId="0E8C3C7F">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proofErr w:type="gramStart"/>
      <w:r>
        <w:rPr>
          <w:rFonts w:ascii="Arial"/>
          <w:sz w:val="14"/>
        </w:rPr>
        <w:t xml:space="preserve">administration </w:t>
      </w:r>
      <w:r w:rsidR="000E2911">
        <w:rPr>
          <w:rFonts w:ascii="Arial"/>
          <w:sz w:val="14"/>
        </w:rPr>
        <w:t xml:space="preserve"> </w:t>
      </w:r>
      <w:r>
        <w:rPr>
          <w:rFonts w:ascii="Arial"/>
          <w:sz w:val="14"/>
        </w:rPr>
        <w:t>both</w:t>
      </w:r>
      <w:proofErr w:type="gramEnd"/>
      <w:r>
        <w:rPr>
          <w:rFonts w:ascii="Arial"/>
          <w:sz w:val="14"/>
        </w:rPr>
        <w:t xml:space="preserve"> in hospital and education institutions. The foundation is based on fourth generation evaluation (</w:t>
      </w:r>
      <w:proofErr w:type="spellStart"/>
      <w:r>
        <w:rPr>
          <w:rFonts w:ascii="Arial"/>
          <w:sz w:val="14"/>
        </w:rPr>
        <w:t>Guba</w:t>
      </w:r>
      <w:proofErr w:type="spellEnd"/>
      <w:r>
        <w:rPr>
          <w:rFonts w:ascii="Arial"/>
          <w:sz w:val="14"/>
        </w:rPr>
        <w:t>&amp;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2"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DD7" w:rsidRDefault="00CF1DD7">
      <w:r>
        <w:separator/>
      </w:r>
    </w:p>
  </w:endnote>
  <w:endnote w:type="continuationSeparator" w:id="0">
    <w:p w:rsidR="00CF1DD7" w:rsidRDefault="00C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DD7" w:rsidRDefault="00CF1DD7">
      <w:r>
        <w:separator/>
      </w:r>
    </w:p>
  </w:footnote>
  <w:footnote w:type="continuationSeparator" w:id="0">
    <w:p w:rsidR="00CF1DD7" w:rsidRDefault="00C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880" behindDoc="1" locked="0" layoutInCell="1" allowOverlap="1">
              <wp:simplePos x="0" y="0"/>
              <wp:positionH relativeFrom="page">
                <wp:posOffset>5283200</wp:posOffset>
              </wp:positionH>
              <wp:positionV relativeFrom="page">
                <wp:posOffset>330835</wp:posOffset>
              </wp:positionV>
              <wp:extent cx="1832610" cy="220980"/>
              <wp:effectExtent l="0" t="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1">
                            <w:r w:rsidRPr="005B3A56">
                              <w:rPr>
                                <w:rFonts w:ascii="Arial"/>
                                <w:color w:val="FFFFFF" w:themeColor="background1"/>
                                <w:sz w:val="14"/>
                              </w:rPr>
                              <w:t>http://dx.doi.org/10.4172/2167-0846.C1.006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XrgIAAKo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Bb6UsXrgIAAKoFAAAOAAAA&#10;AAAAAAAAAAAAAC4CAABkcnMvZTJvRG9jLnhtbFBLAQItABQABgAIAAAAIQDYaCrE3wAAAAoBAAAP&#10;AAAAAAAAAAAAAAAAAAgFAABkcnMvZG93bnJldi54bWxQSwUGAAAAAAQABADzAAAAFAYAAAAA&#10;" filled="f" stroked="f">
              <v:textbox inset="0,0,0,0">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2">
                      <w:r w:rsidRPr="005B3A56">
                        <w:rPr>
                          <w:rFonts w:ascii="Arial"/>
                          <w:color w:val="FFFFFF" w:themeColor="background1"/>
                          <w:sz w:val="14"/>
                        </w:rPr>
                        <w:t>http://dx.doi.org/10.4172/2167-0846.C1.006</w:t>
                      </w:r>
                    </w:hyperlink>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Qp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E2911"/>
    <w:rsid w:val="001263DF"/>
    <w:rsid w:val="00292ED9"/>
    <w:rsid w:val="00404E5B"/>
    <w:rsid w:val="00414F7B"/>
    <w:rsid w:val="004355DC"/>
    <w:rsid w:val="004749B4"/>
    <w:rsid w:val="00494130"/>
    <w:rsid w:val="004F3523"/>
    <w:rsid w:val="005973B9"/>
    <w:rsid w:val="005B3A56"/>
    <w:rsid w:val="005C7D9D"/>
    <w:rsid w:val="006060CE"/>
    <w:rsid w:val="0063497F"/>
    <w:rsid w:val="00873DF0"/>
    <w:rsid w:val="008756E6"/>
    <w:rsid w:val="009B2D44"/>
    <w:rsid w:val="00A07E82"/>
    <w:rsid w:val="00A9710C"/>
    <w:rsid w:val="00AE3E37"/>
    <w:rsid w:val="00B21A57"/>
    <w:rsid w:val="00C33602"/>
    <w:rsid w:val="00CD6F55"/>
    <w:rsid w:val="00CF1DD7"/>
    <w:rsid w:val="00DE3104"/>
    <w:rsid w:val="00F72EE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dx.doi.org/10.4172/2167-0846.C1.006" TargetMode="External"/><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Endocrinology</cp:lastModifiedBy>
  <cp:revision>2</cp:revision>
  <dcterms:created xsi:type="dcterms:W3CDTF">2016-09-15T12:46:00Z</dcterms:created>
  <dcterms:modified xsi:type="dcterms:W3CDTF">2016-09-15T12:46:00Z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