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62" w:rsidRDefault="004B0AB9">
      <w:pPr>
        <w:tabs>
          <w:tab w:val="left" w:pos="3105"/>
          <w:tab w:val="left" w:pos="8219"/>
        </w:tabs>
        <w:ind w:left="100"/>
        <w:rPr>
          <w:sz w:val="20"/>
        </w:rPr>
      </w:pPr>
      <w:r>
        <w:rPr>
          <w:position w:val="24"/>
          <w:sz w:val="20"/>
        </w:rPr>
      </w:r>
      <w:r>
        <w:rPr>
          <w:position w:val="24"/>
          <w:sz w:val="20"/>
        </w:rPr>
        <w:pict>
          <v:group id="_x0000_s1038" style="width:137.65pt;height:68.2pt;mso-position-horizontal-relative:char;mso-position-vertical-relative:line" coordsize="2753,13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2753;height:1364">
              <v:imagedata r:id="rId7" o:title=""/>
            </v:shape>
            <v:shape id="_x0000_s1042" type="#_x0000_t75" style="position:absolute;left:60;top:134;width:2631;height:1095">
              <v:imagedata r:id="rId8" o:title=""/>
            </v:shape>
            <v:shape id="_x0000_s1041" type="#_x0000_t75" style="position:absolute;left:60;top:28;width:2640;height:1250">
              <v:imagedata r:id="rId9" o:title=""/>
            </v:shape>
            <v:shape id="_x0000_s1040" style="position:absolute;left:60;top:28;width:2640;height:1250" coordorigin="60,29" coordsize="2640,1250" path="m60,237l71,171r29,-57l145,69,203,39,268,29r2224,l2558,39r57,30l2660,114r29,57l2700,237r,833l2689,1136r-29,58l2615,1239r-57,29l2492,1279r-2224,l203,1268r-58,-29l100,1194,71,1136,60,1070r,-833xe" filled="f" strokecolor="#f69240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2753;height:1364" filled="f" stroked="f">
              <v:textbox inset="0,0,0,0">
                <w:txbxContent>
                  <w:p w:rsidR="00FD6062" w:rsidRDefault="004B0AB9">
                    <w:pPr>
                      <w:spacing w:before="169" w:line="276" w:lineRule="auto"/>
                      <w:ind w:left="438" w:right="435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Journal of Molecular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Pharmaceutics &amp;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Organic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Process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24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2" style="width:228.75pt;height:80.3pt;mso-position-horizontal-relative:char;mso-position-vertical-relative:line" coordsize="4575,1606">
            <v:shape id="_x0000_s1037" type="#_x0000_t75" style="position:absolute;width:4575;height:1606">
              <v:imagedata r:id="rId10" o:title=""/>
            </v:shape>
            <v:shape id="_x0000_s1036" type="#_x0000_t75" style="position:absolute;left:72;top:144;width:4431;height:1316">
              <v:imagedata r:id="rId11" o:title=""/>
            </v:shape>
            <v:shape id="_x0000_s1035" type="#_x0000_t75" style="position:absolute;left:60;top:28;width:4455;height:1485">
              <v:imagedata r:id="rId12" o:title=""/>
            </v:shape>
            <v:shape id="_x0000_s1034" style="position:absolute;left:60;top:28;width:4455;height:1485" coordorigin="60,29" coordsize="4455,1485" path="m60,276l73,198r35,-68l161,77,229,41,308,29r3959,l4346,41r68,36l4467,130r35,68l4515,276r,990l4502,1345r-35,68l4414,1466r-68,35l4267,1514r-3959,l229,1501r-68,-35l108,1413,73,1345,60,1266r,-990xe" filled="f" strokecolor="#bd4a47">
              <v:path arrowok="t"/>
            </v:shape>
            <v:shape id="_x0000_s1033" type="#_x0000_t202" style="position:absolute;width:4575;height:1606" filled="f" stroked="f">
              <v:textbox inset="0,0,0,0">
                <w:txbxContent>
                  <w:p w:rsidR="00FD6062" w:rsidRDefault="009A54C2">
                    <w:pPr>
                      <w:spacing w:before="179"/>
                      <w:ind w:left="737" w:right="736" w:firstLine="1"/>
                      <w:jc w:val="center"/>
                      <w:rPr>
                        <w:sz w:val="24"/>
                      </w:rPr>
                    </w:pPr>
                    <w:r w:rsidRPr="009A54C2">
                      <w:rPr>
                        <w:sz w:val="24"/>
                      </w:rPr>
                      <w:t>6</w:t>
                    </w:r>
                    <w:r w:rsidRPr="009A54C2">
                      <w:rPr>
                        <w:sz w:val="24"/>
                        <w:vertAlign w:val="superscript"/>
                      </w:rPr>
                      <w:t>th</w:t>
                    </w:r>
                    <w:r>
                      <w:rPr>
                        <w:sz w:val="24"/>
                      </w:rPr>
                      <w:t xml:space="preserve"> International Congress on </w:t>
                    </w:r>
                    <w:r w:rsidRPr="009A54C2">
                      <w:rPr>
                        <w:sz w:val="24"/>
                      </w:rPr>
                      <w:t>Pharmaceutics &amp; Drug Delivery</w:t>
                    </w:r>
                  </w:p>
                  <w:p w:rsidR="00FD6062" w:rsidRDefault="009A54C2" w:rsidP="009A54C2">
                    <w:pPr>
                      <w:ind w:left="739" w:right="739"/>
                      <w:jc w:val="center"/>
                      <w:rPr>
                        <w:sz w:val="24"/>
                      </w:rPr>
                    </w:pPr>
                    <w:r w:rsidRPr="009A54C2">
                      <w:t>March 23-24, 2023 | Rome, Italy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24"/>
          <w:sz w:val="20"/>
        </w:rPr>
      </w:r>
      <w:r>
        <w:rPr>
          <w:position w:val="24"/>
          <w:sz w:val="20"/>
        </w:rPr>
        <w:pict>
          <v:group id="_x0000_s1026" style="width:137.65pt;height:65.2pt;mso-position-horizontal-relative:char;mso-position-vertical-relative:line" coordsize="2753,1304">
            <v:shape id="_x0000_s1031" type="#_x0000_t75" style="position:absolute;width:2753;height:1304">
              <v:imagedata r:id="rId13" o:title=""/>
            </v:shape>
            <v:shape id="_x0000_s1030" type="#_x0000_t75" style="position:absolute;left:60;top:129;width:2636;height:1042">
              <v:imagedata r:id="rId14" o:title=""/>
            </v:shape>
            <v:shape id="_x0000_s1029" type="#_x0000_t75" style="position:absolute;left:60;top:28;width:2640;height:1190">
              <v:imagedata r:id="rId15" o:title=""/>
            </v:shape>
            <v:shape id="_x0000_s1028" style="position:absolute;left:60;top:28;width:2640;height:1190" coordorigin="60,29" coordsize="2640,1190" path="m60,227l76,150,118,87,181,44,258,29r2244,l2579,44r63,43l2684,150r16,77l2700,1020r-16,78l2642,1161r-63,42l2502,1219r-2244,l181,1203r-63,-42l76,1098,60,1020r,-793xe" filled="f" strokecolor="#f69240">
              <v:path arrowok="t"/>
            </v:shape>
            <v:shape id="_x0000_s1027" type="#_x0000_t202" style="position:absolute;width:2753;height:1304" filled="f" stroked="f">
              <v:textbox inset="0,0,0,0">
                <w:txbxContent>
                  <w:p w:rsidR="00FD6062" w:rsidRDefault="004B0AB9">
                    <w:pPr>
                      <w:spacing w:before="165"/>
                      <w:ind w:left="447" w:right="435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ISSN: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2329-9053</w:t>
                    </w:r>
                  </w:p>
                  <w:p w:rsidR="00FD6062" w:rsidRDefault="00FD6062">
                    <w:pPr>
                      <w:spacing w:before="8"/>
                      <w:rPr>
                        <w:rFonts w:ascii="Calibri"/>
                        <w:sz w:val="19"/>
                      </w:rPr>
                    </w:pPr>
                  </w:p>
                  <w:p w:rsidR="00FD6062" w:rsidRDefault="00B02C57">
                    <w:pPr>
                      <w:ind w:left="447" w:right="435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Volume 11</w:t>
                    </w:r>
                    <w:r w:rsidR="004B0AB9">
                      <w:rPr>
                        <w:rFonts w:ascii="Calibri"/>
                        <w:spacing w:val="1"/>
                      </w:rPr>
                      <w:t xml:space="preserve"> </w:t>
                    </w:r>
                    <w:r w:rsidR="004B0AB9">
                      <w:rPr>
                        <w:rFonts w:ascii="Calibri"/>
                      </w:rPr>
                      <w:t>|</w:t>
                    </w:r>
                    <w:r w:rsidR="004B0AB9"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4B0AB9">
                      <w:rPr>
                        <w:rFonts w:ascii="Calibri"/>
                      </w:rPr>
                      <w:t>ISSUE</w:t>
                    </w:r>
                    <w:r w:rsidR="004B0AB9"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</w:t>
                    </w:r>
                    <w:bookmarkStart w:id="0" w:name="_GoBack"/>
                    <w:bookmarkEnd w:id="0"/>
                  </w:p>
                </w:txbxContent>
              </v:textbox>
            </v:shape>
            <w10:wrap type="none"/>
            <w10:anchorlock/>
          </v:group>
        </w:pict>
      </w:r>
    </w:p>
    <w:p w:rsidR="00FD6062" w:rsidRDefault="00FD6062">
      <w:pPr>
        <w:pStyle w:val="BodyText"/>
        <w:rPr>
          <w:sz w:val="20"/>
        </w:rPr>
      </w:pPr>
    </w:p>
    <w:p w:rsidR="00FD6062" w:rsidRDefault="00FD6062">
      <w:pPr>
        <w:pStyle w:val="BodyText"/>
        <w:rPr>
          <w:sz w:val="20"/>
        </w:rPr>
      </w:pPr>
    </w:p>
    <w:p w:rsidR="00FD6062" w:rsidRDefault="00FD6062">
      <w:pPr>
        <w:pStyle w:val="BodyText"/>
        <w:spacing w:before="7"/>
        <w:rPr>
          <w:sz w:val="16"/>
        </w:rPr>
      </w:pPr>
    </w:p>
    <w:p w:rsidR="00FD6062" w:rsidRDefault="004B0AB9">
      <w:pPr>
        <w:spacing w:before="56"/>
        <w:ind w:left="900"/>
        <w:rPr>
          <w:rFonts w:ascii="Calibri"/>
          <w:b/>
        </w:rPr>
      </w:pPr>
      <w:r>
        <w:rPr>
          <w:rFonts w:ascii="Calibri"/>
          <w:b/>
        </w:rPr>
        <w:t>Abstract</w:t>
      </w:r>
    </w:p>
    <w:p w:rsidR="00FD6062" w:rsidRDefault="00FD6062">
      <w:pPr>
        <w:pStyle w:val="BodyText"/>
        <w:spacing w:before="8"/>
        <w:rPr>
          <w:rFonts w:ascii="Calibri"/>
          <w:b/>
          <w:sz w:val="19"/>
        </w:rPr>
      </w:pPr>
    </w:p>
    <w:p w:rsidR="00FD6062" w:rsidRDefault="004B0AB9">
      <w:pPr>
        <w:pStyle w:val="BodyText"/>
        <w:spacing w:before="1" w:line="276" w:lineRule="auto"/>
        <w:ind w:left="900" w:right="1163"/>
      </w:pPr>
      <w:r>
        <w:t>Grains, cereals, or legumes which are animal feed ingredients, contain phytate which cannot</w:t>
      </w:r>
      <w:r>
        <w:rPr>
          <w:spacing w:val="1"/>
        </w:rPr>
        <w:t xml:space="preserve"> </w:t>
      </w:r>
      <w:r>
        <w:t>be digested by the digestive tract of monogastric animals. This is because phytate</w:t>
      </w:r>
      <w:r>
        <w:rPr>
          <w:spacing w:val="1"/>
        </w:rPr>
        <w:t xml:space="preserve"> </w:t>
      </w:r>
      <w:r>
        <w:rPr>
          <w:position w:val="2"/>
        </w:rPr>
        <w:t>(C</w:t>
      </w:r>
      <w:r>
        <w:rPr>
          <w:sz w:val="16"/>
        </w:rPr>
        <w:t>6</w:t>
      </w:r>
      <w:r>
        <w:rPr>
          <w:position w:val="2"/>
        </w:rPr>
        <w:t>H</w:t>
      </w:r>
      <w:r>
        <w:rPr>
          <w:sz w:val="16"/>
        </w:rPr>
        <w:t>18</w:t>
      </w:r>
      <w:r>
        <w:rPr>
          <w:position w:val="2"/>
        </w:rPr>
        <w:t>O</w:t>
      </w:r>
      <w:r>
        <w:rPr>
          <w:sz w:val="16"/>
        </w:rPr>
        <w:t>24</w:t>
      </w:r>
      <w:r>
        <w:rPr>
          <w:position w:val="2"/>
        </w:rPr>
        <w:t>P</w:t>
      </w:r>
      <w:r>
        <w:rPr>
          <w:sz w:val="16"/>
        </w:rPr>
        <w:t>6</w:t>
      </w:r>
      <w:r>
        <w:rPr>
          <w:position w:val="2"/>
        </w:rPr>
        <w:t>) can bind about 80% phosphorus, also binds to proteins, vitamins and minerals</w:t>
      </w:r>
      <w:r>
        <w:rPr>
          <w:spacing w:val="1"/>
          <w:position w:val="2"/>
        </w:rPr>
        <w:t xml:space="preserve"> </w:t>
      </w:r>
      <w:r>
        <w:t>(Mg</w:t>
      </w:r>
      <w:r>
        <w:rPr>
          <w:vertAlign w:val="superscript"/>
        </w:rPr>
        <w:t>++</w:t>
      </w:r>
      <w:r>
        <w:t>, Fe</w:t>
      </w:r>
      <w:r>
        <w:rPr>
          <w:vertAlign w:val="superscript"/>
        </w:rPr>
        <w:t>++</w:t>
      </w:r>
      <w:r>
        <w:t>, Zn</w:t>
      </w:r>
      <w:r>
        <w:rPr>
          <w:vertAlign w:val="superscript"/>
        </w:rPr>
        <w:t>++</w:t>
      </w:r>
      <w:r>
        <w:t>, Mn</w:t>
      </w:r>
      <w:r>
        <w:rPr>
          <w:vertAlign w:val="superscript"/>
        </w:rPr>
        <w:t>++</w:t>
      </w:r>
      <w:r>
        <w:t xml:space="preserve">, Ca </w:t>
      </w:r>
      <w:r>
        <w:rPr>
          <w:vertAlign w:val="superscript"/>
        </w:rPr>
        <w:t>++</w:t>
      </w:r>
      <w:r>
        <w:t>) in feed. Then one option to overcome this problem is the</w:t>
      </w:r>
      <w:r>
        <w:rPr>
          <w:spacing w:val="1"/>
        </w:rPr>
        <w:t xml:space="preserve"> </w:t>
      </w:r>
      <w:r>
        <w:t>application of the enzyme phytase from a variety of sources, including those prod</w:t>
      </w:r>
      <w:r>
        <w:t>uced by</w:t>
      </w:r>
      <w:r>
        <w:rPr>
          <w:spacing w:val="1"/>
        </w:rPr>
        <w:t xml:space="preserve"> </w:t>
      </w:r>
      <w:r>
        <w:t>bacteria. Phytase enzymes can hydrolyze phytic acid in feed. This study aimed to determine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phytase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Burkholderia</w:t>
      </w:r>
      <w:r>
        <w:rPr>
          <w:i/>
          <w:spacing w:val="-1"/>
        </w:rPr>
        <w:t xml:space="preserve"> </w:t>
      </w:r>
      <w:r>
        <w:t>sp.</w:t>
      </w:r>
      <w:r>
        <w:rPr>
          <w:spacing w:val="-1"/>
        </w:rPr>
        <w:t xml:space="preserve"> </w:t>
      </w:r>
      <w:r>
        <w:t>HF.7</w:t>
      </w:r>
      <w:r>
        <w:rPr>
          <w:spacing w:val="-1"/>
        </w:rPr>
        <w:t xml:space="preserve"> </w:t>
      </w:r>
      <w:r>
        <w:t>strains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optimization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phytase activity using a variety of Phitate Production Media (PPM) media. This study uses a</w:t>
      </w:r>
      <w:r>
        <w:rPr>
          <w:spacing w:val="1"/>
        </w:rPr>
        <w:t xml:space="preserve"> </w:t>
      </w:r>
      <w:r>
        <w:t>descriptive approach. The study design used a completely randomized design (CRD) with</w:t>
      </w:r>
      <w:r>
        <w:rPr>
          <w:spacing w:val="1"/>
        </w:rPr>
        <w:t xml:space="preserve"> </w:t>
      </w:r>
      <w:r>
        <w:t>factorial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consisting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factors,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</w:t>
      </w:r>
      <w:r>
        <w:t>ytate:</w:t>
      </w:r>
      <w:r>
        <w:rPr>
          <w:spacing w:val="1"/>
        </w:rPr>
        <w:t xml:space="preserve"> </w:t>
      </w:r>
      <w:r>
        <w:t>calcium</w:t>
      </w:r>
      <w:r>
        <w:rPr>
          <w:spacing w:val="1"/>
        </w:rPr>
        <w:t xml:space="preserve"> </w:t>
      </w:r>
      <w:r>
        <w:rPr>
          <w:position w:val="2"/>
        </w:rPr>
        <w:t>(Ca) phytate, rice bran, corn bran, and soy. Nitrogen source: (NH4) 2SO</w:t>
      </w:r>
      <w:r>
        <w:rPr>
          <w:sz w:val="16"/>
        </w:rPr>
        <w:t>4</w:t>
      </w:r>
      <w:r>
        <w:rPr>
          <w:position w:val="2"/>
        </w:rPr>
        <w:t>, yeast extract, and</w:t>
      </w:r>
      <w:r>
        <w:rPr>
          <w:spacing w:val="1"/>
          <w:position w:val="2"/>
        </w:rPr>
        <w:t xml:space="preserve"> </w:t>
      </w:r>
      <w:r>
        <w:t xml:space="preserve">peptone. </w:t>
      </w:r>
      <w:r>
        <w:rPr>
          <w:i/>
        </w:rPr>
        <w:t xml:space="preserve">Bukholderia </w:t>
      </w:r>
      <w:r>
        <w:t>sp. HF.7 strains growth phase as the basis for determining the phytase</w:t>
      </w:r>
      <w:r>
        <w:rPr>
          <w:spacing w:val="1"/>
        </w:rPr>
        <w:t xml:space="preserve"> </w:t>
      </w:r>
      <w:r>
        <w:t>production period, which</w:t>
      </w:r>
      <w:r>
        <w:rPr>
          <w:spacing w:val="2"/>
        </w:rPr>
        <w:t xml:space="preserve"> </w:t>
      </w:r>
      <w:r>
        <w:t>is the 62 hour stationary</w:t>
      </w:r>
      <w:r>
        <w:rPr>
          <w:spacing w:val="2"/>
        </w:rPr>
        <w:t xml:space="preserve"> </w:t>
      </w:r>
      <w:r>
        <w:t>phase</w:t>
      </w:r>
      <w:r>
        <w:t xml:space="preserve"> with an</w:t>
      </w:r>
      <w:r>
        <w:rPr>
          <w:spacing w:val="1"/>
        </w:rPr>
        <w:t xml:space="preserve"> </w:t>
      </w:r>
      <w:r>
        <w:t>OD value</w:t>
      </w:r>
      <w:r>
        <w:rPr>
          <w:spacing w:val="2"/>
        </w:rPr>
        <w:t xml:space="preserve"> </w:t>
      </w:r>
      <w:r>
        <w:t>of 2,060</w:t>
      </w:r>
      <w:r>
        <w:rPr>
          <w:spacing w:val="1"/>
        </w:rPr>
        <w:t xml:space="preserve"> </w:t>
      </w:r>
      <w:r>
        <w:t>logs /</w:t>
      </w:r>
      <w:r>
        <w:rPr>
          <w:spacing w:val="1"/>
        </w:rPr>
        <w:t xml:space="preserve"> </w:t>
      </w:r>
      <w:r>
        <w:t>cell. The optimum phytase production in the variation of PPM media with soy-peptone</w:t>
      </w:r>
      <w:r>
        <w:rPr>
          <w:spacing w:val="1"/>
        </w:rPr>
        <w:t xml:space="preserve"> </w:t>
      </w:r>
      <w:r>
        <w:t>combination, which contains 46.5 mg / mL protein and 8.20 U / mL activity value under pH 7</w:t>
      </w:r>
      <w:r>
        <w:rPr>
          <w:spacing w:val="-57"/>
        </w:rPr>
        <w:t xml:space="preserve"> </w:t>
      </w:r>
      <w:r>
        <w:t>with 37</w:t>
      </w:r>
      <w:r>
        <w:rPr>
          <w:vertAlign w:val="superscript"/>
        </w:rPr>
        <w:t>o</w:t>
      </w:r>
      <w:r>
        <w:t>C incubation for 62 hours. The optimum phytase production in the variation of PPM</w:t>
      </w:r>
      <w:r>
        <w:rPr>
          <w:spacing w:val="1"/>
        </w:rPr>
        <w:t xml:space="preserve"> </w:t>
      </w:r>
      <w:r>
        <w:t>media with soy-peptone combination, which contains 46.5 mg / mL protein and 8.20 U / mL</w:t>
      </w:r>
      <w:r>
        <w:rPr>
          <w:spacing w:val="1"/>
        </w:rPr>
        <w:t xml:space="preserve"> </w:t>
      </w:r>
      <w:r>
        <w:t>activity value under pH 7 with 37</w:t>
      </w:r>
      <w:r>
        <w:rPr>
          <w:vertAlign w:val="superscript"/>
        </w:rPr>
        <w:t>o</w:t>
      </w:r>
      <w:r>
        <w:t>C incubation for 62 hours. Thus, phytase activity pr</w:t>
      </w:r>
      <w:r>
        <w:t>oduced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PPM with</w:t>
      </w:r>
      <w:r>
        <w:rPr>
          <w:spacing w:val="-1"/>
        </w:rPr>
        <w:t xml:space="preserve"> </w:t>
      </w:r>
      <w:r>
        <w:t>added soybeans 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value compared</w:t>
      </w:r>
      <w:r>
        <w:rPr>
          <w:spacing w:val="-1"/>
        </w:rPr>
        <w:t xml:space="preserve"> </w:t>
      </w:r>
      <w:r>
        <w:t>to Ca-phytate</w:t>
      </w:r>
      <w:r>
        <w:rPr>
          <w:spacing w:val="-2"/>
        </w:rPr>
        <w:t xml:space="preserve"> </w:t>
      </w:r>
      <w:r>
        <w:t>PPM media.</w:t>
      </w:r>
    </w:p>
    <w:p w:rsidR="00FD6062" w:rsidRDefault="004B0AB9">
      <w:pPr>
        <w:spacing w:before="196"/>
        <w:ind w:left="900"/>
        <w:rPr>
          <w:rFonts w:ascii="Calibri"/>
          <w:b/>
        </w:rPr>
      </w:pPr>
      <w:r>
        <w:rPr>
          <w:rFonts w:ascii="Calibri"/>
          <w:b/>
        </w:rPr>
        <w:t>Biography</w:t>
      </w:r>
    </w:p>
    <w:p w:rsidR="00FD6062" w:rsidRDefault="00FD6062">
      <w:pPr>
        <w:pStyle w:val="BodyText"/>
        <w:spacing w:before="8"/>
        <w:rPr>
          <w:rFonts w:ascii="Calibri"/>
          <w:b/>
          <w:sz w:val="19"/>
        </w:rPr>
      </w:pPr>
    </w:p>
    <w:p w:rsidR="00FD6062" w:rsidRDefault="004B0AB9">
      <w:pPr>
        <w:pStyle w:val="BodyText"/>
        <w:ind w:left="900" w:right="1160"/>
        <w:jc w:val="both"/>
      </w:pPr>
      <w:r>
        <w:t>Hafsan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PhD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Hasanuddin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Makassar in Indonesia. She is the lecturer (assistant professor) that</w:t>
      </w:r>
      <w:r>
        <w:t xml:space="preserve"> pursued of biotechnology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biology</w:t>
      </w:r>
      <w:r>
        <w:rPr>
          <w:spacing w:val="1"/>
        </w:rPr>
        <w:t xml:space="preserve"> </w:t>
      </w:r>
      <w:r>
        <w:t>department,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Islam</w:t>
      </w:r>
      <w:r>
        <w:rPr>
          <w:spacing w:val="60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Alauddin Makassar, a higher education institutions. He has published more than 15 papers in</w:t>
      </w:r>
      <w:r>
        <w:rPr>
          <w:spacing w:val="1"/>
        </w:rPr>
        <w:t xml:space="preserve"> </w:t>
      </w:r>
      <w:r>
        <w:t>reputed journals and has been serving as an editorial board member of repute. She also wrote</w:t>
      </w:r>
      <w:r>
        <w:rPr>
          <w:spacing w:val="1"/>
        </w:rPr>
        <w:t xml:space="preserve"> </w:t>
      </w:r>
      <w:r>
        <w:t>a number of published textbooks and actively carried out community service with the team in</w:t>
      </w:r>
      <w:r>
        <w:rPr>
          <w:spacing w:val="-57"/>
        </w:rPr>
        <w:t xml:space="preserve"> </w:t>
      </w:r>
      <w:r>
        <w:t>her institution.</w:t>
      </w:r>
    </w:p>
    <w:p w:rsidR="00FD6062" w:rsidRDefault="00FD6062">
      <w:pPr>
        <w:pStyle w:val="BodyText"/>
        <w:rPr>
          <w:sz w:val="26"/>
        </w:rPr>
      </w:pPr>
    </w:p>
    <w:p w:rsidR="00FD6062" w:rsidRDefault="004B0AB9">
      <w:pPr>
        <w:spacing w:before="211"/>
        <w:ind w:left="900"/>
        <w:rPr>
          <w:rFonts w:ascii="Calibri"/>
          <w:b/>
        </w:rPr>
      </w:pPr>
      <w:r>
        <w:rPr>
          <w:rFonts w:ascii="Calibri"/>
          <w:b/>
        </w:rPr>
        <w:t>References</w:t>
      </w:r>
    </w:p>
    <w:p w:rsidR="00FD6062" w:rsidRDefault="00FD6062">
      <w:pPr>
        <w:pStyle w:val="BodyText"/>
        <w:spacing w:before="8"/>
        <w:rPr>
          <w:rFonts w:ascii="Calibri"/>
          <w:b/>
          <w:sz w:val="19"/>
        </w:rPr>
      </w:pPr>
    </w:p>
    <w:p w:rsidR="00FD6062" w:rsidRDefault="004B0AB9">
      <w:pPr>
        <w:spacing w:line="276" w:lineRule="auto"/>
        <w:ind w:left="900" w:right="1273"/>
        <w:rPr>
          <w:rFonts w:ascii="Calibri" w:hAnsi="Calibri"/>
        </w:rPr>
      </w:pPr>
      <w:hyperlink r:id="rId16">
        <w:r>
          <w:rPr>
            <w:rFonts w:ascii="Calibri" w:hAnsi="Calibri"/>
            <w:color w:val="0000FF"/>
            <w:u w:val="single" w:color="0000FF"/>
          </w:rPr>
          <w:t>The Potential of STILeS As A Learning System Improve the Competences of Islamic Higher Education</w:t>
        </w:r>
      </w:hyperlink>
      <w:r>
        <w:rPr>
          <w:rFonts w:ascii="Calibri" w:hAnsi="Calibri"/>
          <w:color w:val="0000FF"/>
          <w:spacing w:val="-47"/>
        </w:rPr>
        <w:t xml:space="preserve"> </w:t>
      </w:r>
      <w:hyperlink r:id="rId17">
        <w:r>
          <w:rPr>
            <w:rFonts w:ascii="Calibri" w:hAnsi="Calibri"/>
            <w:color w:val="0000FF"/>
            <w:u w:val="single" w:color="0000FF"/>
          </w:rPr>
          <w:t>Graduates</w:t>
        </w:r>
        <w:r>
          <w:rPr>
            <w:rFonts w:ascii="Calibri" w:hAnsi="Calibri"/>
            <w:color w:val="0000FF"/>
            <w:spacing w:val="-1"/>
          </w:rPr>
          <w:t xml:space="preserve"> </w:t>
        </w:r>
      </w:hyperlink>
      <w:r>
        <w:rPr>
          <w:rFonts w:ascii="Calibri" w:hAnsi="Calibri"/>
        </w:rPr>
        <w:t>- 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Alwi, 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Ismail,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Sulaiman,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Hafsan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2018</w:t>
      </w:r>
    </w:p>
    <w:p w:rsidR="00FD6062" w:rsidRDefault="00FD6062">
      <w:pPr>
        <w:pStyle w:val="BodyText"/>
        <w:spacing w:before="10"/>
        <w:rPr>
          <w:rFonts w:ascii="Calibri"/>
          <w:sz w:val="11"/>
        </w:rPr>
      </w:pPr>
    </w:p>
    <w:p w:rsidR="00FD6062" w:rsidRDefault="004B0AB9">
      <w:pPr>
        <w:spacing w:before="56" w:line="273" w:lineRule="auto"/>
        <w:ind w:left="900" w:right="1811"/>
        <w:rPr>
          <w:rFonts w:ascii="Calibri" w:hAnsi="Calibri"/>
        </w:rPr>
      </w:pPr>
      <w:hyperlink r:id="rId18">
        <w:r>
          <w:rPr>
            <w:rFonts w:ascii="Calibri" w:hAnsi="Calibri"/>
            <w:color w:val="0000FF"/>
            <w:u w:val="single" w:color="0000FF"/>
          </w:rPr>
          <w:t>Performance, carcass and internal organs characterizes of broiler chickens with phytase</w:t>
        </w:r>
        <w:r>
          <w:rPr>
            <w:rFonts w:ascii="Calibri" w:hAnsi="Calibri"/>
            <w:color w:val="0000FF"/>
          </w:rPr>
          <w:t xml:space="preserve"> </w:t>
        </w:r>
      </w:hyperlink>
      <w:r>
        <w:rPr>
          <w:rFonts w:ascii="Calibri" w:hAnsi="Calibri"/>
        </w:rPr>
        <w:t>- HTA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Hafsan, A Natsir, 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Ahmad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2021</w:t>
      </w:r>
    </w:p>
    <w:p w:rsidR="00FD6062" w:rsidRDefault="00FD6062">
      <w:pPr>
        <w:pStyle w:val="BodyText"/>
        <w:spacing w:before="8"/>
        <w:rPr>
          <w:rFonts w:ascii="Calibri"/>
          <w:sz w:val="16"/>
        </w:rPr>
      </w:pPr>
    </w:p>
    <w:p w:rsidR="00FD6062" w:rsidRDefault="004B0AB9">
      <w:pPr>
        <w:spacing w:before="1" w:line="276" w:lineRule="auto"/>
        <w:ind w:left="900" w:right="1164"/>
        <w:rPr>
          <w:rFonts w:ascii="Calibri" w:hAnsi="Calibri"/>
        </w:rPr>
      </w:pPr>
      <w:hyperlink r:id="rId19">
        <w:r>
          <w:rPr>
            <w:rFonts w:ascii="Calibri" w:hAnsi="Calibri"/>
            <w:color w:val="0000FF"/>
            <w:u w:val="single" w:color="0000FF"/>
          </w:rPr>
          <w:t>The Utilization of Coconut Water Waste As a Growth Media of the In-Vitro Potato Cutting</w:t>
        </w:r>
        <w:r>
          <w:rPr>
            <w:rFonts w:ascii="Calibri" w:hAnsi="Calibri"/>
            <w:color w:val="0000FF"/>
          </w:rPr>
          <w:t xml:space="preserve"> </w:t>
        </w:r>
      </w:hyperlink>
      <w:r>
        <w:rPr>
          <w:rFonts w:ascii="Calibri" w:hAnsi="Calibri"/>
        </w:rPr>
        <w:t>- H Hafsan,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Khalifah,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Mustami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2019</w:t>
      </w:r>
    </w:p>
    <w:p w:rsidR="00FD6062" w:rsidRDefault="00FD6062">
      <w:pPr>
        <w:spacing w:line="276" w:lineRule="auto"/>
        <w:rPr>
          <w:rFonts w:ascii="Calibri" w:hAnsi="Calibri"/>
        </w:rPr>
        <w:sectPr w:rsidR="00FD6062">
          <w:footerReference w:type="default" r:id="rId20"/>
          <w:type w:val="continuous"/>
          <w:pgSz w:w="11910" w:h="16840"/>
          <w:pgMar w:top="600" w:right="280" w:bottom="960" w:left="540" w:header="720" w:footer="776" w:gutter="0"/>
          <w:pgNumType w:start="1"/>
          <w:cols w:space="720"/>
        </w:sectPr>
      </w:pPr>
    </w:p>
    <w:p w:rsidR="00FD6062" w:rsidRDefault="004B0AB9">
      <w:pPr>
        <w:spacing w:before="41" w:line="276" w:lineRule="auto"/>
        <w:ind w:left="900" w:right="1145"/>
        <w:rPr>
          <w:rFonts w:ascii="Calibri" w:hAnsi="Calibri"/>
        </w:rPr>
      </w:pPr>
      <w:hyperlink r:id="rId21">
        <w:r>
          <w:rPr>
            <w:rFonts w:ascii="Calibri" w:hAnsi="Calibri"/>
            <w:color w:val="0000FF"/>
            <w:u w:val="single" w:color="0000FF"/>
          </w:rPr>
          <w:t>Broiler farms practice without AGP as an Islamic conceptionin the strategy to achieve “asuh” food</w:t>
        </w:r>
        <w:r>
          <w:rPr>
            <w:rFonts w:ascii="Calibri" w:hAnsi="Calibri"/>
            <w:color w:val="0000FF"/>
          </w:rPr>
          <w:t xml:space="preserve"> </w:t>
        </w:r>
      </w:hyperlink>
      <w:r>
        <w:rPr>
          <w:rFonts w:ascii="Calibri" w:hAnsi="Calibri"/>
        </w:rPr>
        <w:t>- H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Hafs</w:t>
      </w:r>
      <w:r>
        <w:rPr>
          <w:rFonts w:ascii="Calibri" w:hAnsi="Calibri"/>
        </w:rPr>
        <w:t>an,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 Kiramang,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Thaha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- 2018</w:t>
      </w:r>
    </w:p>
    <w:p w:rsidR="00FD6062" w:rsidRDefault="00FD6062">
      <w:pPr>
        <w:pStyle w:val="BodyText"/>
        <w:spacing w:before="5"/>
        <w:rPr>
          <w:rFonts w:ascii="Calibri"/>
          <w:sz w:val="16"/>
        </w:rPr>
      </w:pPr>
    </w:p>
    <w:p w:rsidR="00FD6062" w:rsidRDefault="004B0AB9">
      <w:pPr>
        <w:ind w:left="900"/>
        <w:rPr>
          <w:rFonts w:ascii="Calibri"/>
        </w:rPr>
      </w:pPr>
      <w:r>
        <w:rPr>
          <w:rFonts w:ascii="Calibri"/>
        </w:rPr>
        <w:t>Organization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/ University Logo</w:t>
      </w:r>
    </w:p>
    <w:p w:rsidR="00FD6062" w:rsidRDefault="00FD6062">
      <w:pPr>
        <w:pStyle w:val="BodyText"/>
        <w:spacing w:before="9"/>
        <w:rPr>
          <w:rFonts w:ascii="Calibri"/>
          <w:sz w:val="19"/>
        </w:rPr>
      </w:pPr>
    </w:p>
    <w:p w:rsidR="00FD6062" w:rsidRDefault="004B0AB9">
      <w:pPr>
        <w:ind w:left="900"/>
        <w:rPr>
          <w:rFonts w:ascii="Calibri"/>
        </w:rPr>
      </w:pPr>
      <w:r>
        <w:rPr>
          <w:rFonts w:ascii="Calibri"/>
        </w:rPr>
        <w:t>Universitas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Islam Negeri alauddin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Makassar,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Indonesia</w:t>
      </w:r>
    </w:p>
    <w:p w:rsidR="00FD6062" w:rsidRDefault="004B0AB9">
      <w:pPr>
        <w:pStyle w:val="BodyText"/>
        <w:spacing w:before="6"/>
        <w:rPr>
          <w:rFonts w:ascii="Calibri"/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152799</wp:posOffset>
            </wp:positionV>
            <wp:extent cx="1030180" cy="1246917"/>
            <wp:effectExtent l="0" t="0" r="0" b="0"/>
            <wp:wrapTopAndBottom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80" cy="1246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6062">
      <w:pgSz w:w="11910" w:h="16840"/>
      <w:pgMar w:top="1380" w:right="280" w:bottom="1020" w:left="54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B9" w:rsidRDefault="004B0AB9">
      <w:r>
        <w:separator/>
      </w:r>
    </w:p>
  </w:endnote>
  <w:endnote w:type="continuationSeparator" w:id="0">
    <w:p w:rsidR="004B0AB9" w:rsidRDefault="004B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62" w:rsidRDefault="004B0AB9">
    <w:pPr>
      <w:pStyle w:val="BodyText"/>
      <w:spacing w:line="14" w:lineRule="auto"/>
      <w:rPr>
        <w:sz w:val="20"/>
      </w:rPr>
    </w:pPr>
    <w:r>
      <w:pict>
        <v:group id="_x0000_s2050" style="position:absolute;margin-left:56.05pt;margin-top:789.1pt;width:519.65pt;height:33.75pt;z-index:-15785472;mso-position-horizontal-relative:page;mso-position-vertical-relative:page" coordorigin="1121,15782" coordsize="10393,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0;top:15782;width:10393;height:675">
            <v:imagedata r:id="rId1" o:title=""/>
          </v:shape>
          <v:shape id="_x0000_s2053" type="#_x0000_t75" style="position:absolute;left:1147;top:15880;width:10337;height:473">
            <v:imagedata r:id="rId2" o:title=""/>
          </v:shape>
          <v:shape id="_x0000_s2052" type="#_x0000_t75" style="position:absolute;left:1180;top:15811;width:10280;height:560">
            <v:imagedata r:id="rId3" o:title=""/>
          </v:shape>
          <v:shape id="_x0000_s2051" style="position:absolute;left:1180;top:15811;width:10280;height:560" coordorigin="1181,15811" coordsize="10280,560" path="m1181,15905r7,-37l1208,15839r30,-20l1274,15811r10093,l11404,15819r29,20l11453,15868r8,37l11461,16278r-8,36l11433,16344r-29,20l11367,16371r-10093,l1238,16364r-30,-20l1188,16314r-7,-36l1181,15905xe" filled="f" strokecolor="#f69240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3pt;margin-top:797.1pt;width:255.4pt;height:13.05pt;z-index:-15784960;mso-position-horizontal-relative:page;mso-position-vertical-relative:page" filled="f" stroked="f">
          <v:textbox inset="0,0,0,0">
            <w:txbxContent>
              <w:p w:rsidR="00FD6062" w:rsidRDefault="004B0AB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https://pharmaceutics.pharmaceuticalconferences.com/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B9" w:rsidRDefault="004B0AB9">
      <w:r>
        <w:separator/>
      </w:r>
    </w:p>
  </w:footnote>
  <w:footnote w:type="continuationSeparator" w:id="0">
    <w:p w:rsidR="004B0AB9" w:rsidRDefault="004B0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6062"/>
    <w:rsid w:val="004B0AB9"/>
    <w:rsid w:val="009A54C2"/>
    <w:rsid w:val="00B02C57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pharmaceutics.pharmaceuticalconferenc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armaceutics.pharmaceuticalconferences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pharmaceutics.pharmaceuticalconferences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harmaceutics.pharmaceuticalconferences.com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pharmaceutics.pharmaceuticalconference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Pain Management</dc:creator>
  <cp:lastModifiedBy>Otolaryngology And ENT</cp:lastModifiedBy>
  <cp:revision>2</cp:revision>
  <dcterms:created xsi:type="dcterms:W3CDTF">2022-08-16T09:43:00Z</dcterms:created>
  <dcterms:modified xsi:type="dcterms:W3CDTF">2022-08-16T09:50:00Z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</Properties>
</file>