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2B" w:rsidRPr="00A4502B" w:rsidRDefault="00A4502B" w:rsidP="00494130">
      <w:pPr>
        <w:pStyle w:val="Heading1"/>
        <w:spacing w:before="170"/>
        <w:ind w:left="0"/>
        <w:rPr>
          <w:rFonts w:ascii="Tw Cen MT" w:hAnsi="Tw Cen MT"/>
          <w:color w:val="337AB7"/>
        </w:rPr>
      </w:pPr>
      <w:r w:rsidRPr="00A4502B">
        <w:rPr>
          <w:rFonts w:ascii="Tw Cen MT" w:hAnsi="Tw Cen MT"/>
          <w:color w:val="337AB7"/>
        </w:rPr>
        <w:t>Title of Abstract</w:t>
      </w:r>
    </w:p>
    <w:p w:rsidR="0086137B" w:rsidRPr="00A4502B" w:rsidRDefault="0086137B" w:rsidP="00A4502B">
      <w:pPr>
        <w:pStyle w:val="BodyText"/>
        <w:spacing w:before="73" w:line="198" w:lineRule="exact"/>
        <w:ind w:right="5987"/>
      </w:pPr>
      <w:r w:rsidRPr="00A4502B">
        <w:t>Name</w:t>
      </w:r>
      <w:r w:rsidR="005973B9" w:rsidRPr="00A4502B">
        <w:t xml:space="preserve">, </w:t>
      </w:r>
      <w:r w:rsidRPr="00A4502B">
        <w:t>Company/University</w:t>
      </w:r>
      <w:r w:rsidR="005973B9" w:rsidRPr="00A4502B">
        <w:t xml:space="preserve">, </w:t>
      </w:r>
      <w:r w:rsidRPr="00A4502B">
        <w:t>Country</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Pr="00A4502B" w:rsidRDefault="00A4502B">
      <w:pPr>
        <w:pStyle w:val="BodyText"/>
        <w:spacing w:before="90" w:line="280" w:lineRule="auto"/>
        <w:ind w:left="100"/>
        <w:jc w:val="both"/>
        <w:rPr>
          <w:b/>
          <w:color w:val="C00000"/>
        </w:rPr>
      </w:pPr>
      <w:r w:rsidRPr="00A4502B">
        <w:t>Encyclopedia of Bioanalytical Methods for Bioavailability and Bioequivalence Stu</w:t>
      </w:r>
      <w:r w:rsidR="00B300CE">
        <w:t>dies of Pharmaceuticals</w:t>
      </w:r>
      <w:r w:rsidRPr="00A4502B">
        <w:t xml:space="preserve">: It is a unique encyclopedia involving bioanalytical methods for bioavailability and bioequivalence (BA/BE) studies of pharmaceuticals for suitable method selection with thousands of combinations and </w:t>
      </w:r>
      <w:r w:rsidR="00EE1EF3">
        <w:t xml:space="preserve">searches against these methods. </w:t>
      </w:r>
      <w:r w:rsidRPr="00A4502B">
        <w:t>Required information</w:t>
      </w:r>
      <w:r w:rsidR="00EE1EF3">
        <w:t xml:space="preserve"> for regular method development or </w:t>
      </w:r>
      <w:r w:rsidRPr="00A4502B">
        <w:t>validation such as IUPAC name, structure, solubility, chromatographic conditions, instrumentation information like HPLC, LCMS detection parameters, sample preparations, recovery details, limit of detection and limit of quantification, Tmax, Cmax etc., for routine application in BA/BE studies of pharmaceuticals was incorporated including official pharmacopeias info</w:t>
      </w:r>
      <w:bookmarkStart w:id="0" w:name="_GoBack"/>
      <w:bookmarkEnd w:id="0"/>
      <w:r w:rsidRPr="00A4502B">
        <w:t>rmation such as European Pharmacopeia, Japan Pharmacopeia and US Pharmacopeia. Keen selections of bioanalytical methods for pharmaceutical analysis or regular quality control</w:t>
      </w:r>
      <w:r w:rsidR="00E641EB">
        <w:t xml:space="preserve"> are also possible with E-BABE.</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Zahr NM (2008) Neuroinflammati</w:t>
      </w:r>
      <w:r w:rsidR="00A4502B">
        <w:rPr>
          <w:rFonts w:ascii="Calibri" w:hAnsi="Calibri"/>
        </w:rPr>
        <w:t>on as a neurotoxic mechanism in alcoholism:  Commentary on “Increased</w:t>
      </w:r>
      <w:r>
        <w:rPr>
          <w:rFonts w:ascii="Calibri" w:hAnsi="Calibri"/>
        </w:rPr>
        <w:t xml:space="preserve">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sidR="0086137B">
        <w:rPr>
          <w:noProof/>
          <w:lang w:val="en-IN" w:eastAsia="en-IN"/>
        </w:rPr>
        <w:drawing>
          <wp:inline distT="0" distB="0" distL="0" distR="0" wp14:anchorId="55268D31" wp14:editId="430381DE">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noProof/>
        </w:rPr>
        <w:t xml:space="preserve">      </w:t>
      </w:r>
      <w:r w:rsidR="00A9710C">
        <w:rPr>
          <w:rFonts w:ascii="Arial"/>
          <w:color w:val="BF5A14"/>
        </w:rPr>
        <w:t>Biography</w:t>
      </w:r>
      <w:r w:rsidR="00404E5B">
        <w:rPr>
          <w:rFonts w:ascii="Arial"/>
          <w:color w:val="BF5A14"/>
        </w:rPr>
        <w:t xml:space="preserve"> (150 word limit)</w:t>
      </w:r>
    </w:p>
    <w:p w:rsidR="00AE3E37" w:rsidRDefault="00A4502B" w:rsidP="00A4502B">
      <w:pPr>
        <w:spacing w:before="41" w:line="154" w:lineRule="exact"/>
        <w:ind w:right="231"/>
        <w:jc w:val="both"/>
        <w:rPr>
          <w:rFonts w:ascii="Arial"/>
          <w:sz w:val="14"/>
        </w:rPr>
      </w:pPr>
      <w:r>
        <w:rPr>
          <w:rFonts w:ascii="Arial"/>
          <w:sz w:val="14"/>
        </w:rPr>
        <w:t>Name</w:t>
      </w:r>
      <w:r w:rsidR="00A9710C">
        <w:rPr>
          <w:rFonts w:ascii="Arial"/>
          <w:sz w:val="14"/>
        </w:rPr>
        <w:t xml:space="preserve"> has </w:t>
      </w:r>
      <w:r>
        <w:rPr>
          <w:rFonts w:ascii="Arial"/>
          <w:sz w:val="14"/>
        </w:rPr>
        <w:t>his/</w:t>
      </w:r>
      <w:r w:rsidR="00A9710C">
        <w:rPr>
          <w:rFonts w:ascii="Arial"/>
          <w:sz w:val="14"/>
        </w:rPr>
        <w:t xml:space="preserve">her expertise in evaluation and passion in improving the health and wellbeing. </w:t>
      </w:r>
      <w:r>
        <w:rPr>
          <w:rFonts w:ascii="Arial"/>
          <w:sz w:val="14"/>
        </w:rPr>
        <w:t>His/</w:t>
      </w:r>
      <w:r w:rsidR="00A9710C">
        <w:rPr>
          <w:rFonts w:ascii="Arial"/>
          <w:sz w:val="14"/>
        </w:rPr>
        <w:t>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Pr>
          <w:rFonts w:ascii="Arial"/>
          <w:sz w:val="14"/>
        </w:rPr>
        <w:t>.</w:t>
      </w:r>
    </w:p>
    <w:p w:rsidR="00AE3E37" w:rsidRDefault="00A9710C">
      <w:pPr>
        <w:spacing w:before="62"/>
        <w:ind w:left="4217" w:right="4235"/>
        <w:jc w:val="center"/>
        <w:rPr>
          <w:rFonts w:ascii="Arial"/>
          <w:sz w:val="14"/>
        </w:rPr>
      </w:pPr>
      <w:r>
        <w:rPr>
          <w:rFonts w:ascii="Arial"/>
          <w:sz w:val="14"/>
        </w:rPr>
        <w:t xml:space="preserve">Email: </w:t>
      </w:r>
      <w:hyperlink r:id="rId12" w:history="1">
        <w:r w:rsidR="00A4502B" w:rsidRPr="00261D24">
          <w:rPr>
            <w:rStyle w:val="Hyperlink"/>
            <w:rFonts w:ascii="Arial"/>
            <w:sz w:val="14"/>
          </w:rPr>
          <w:t>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F7A" w:rsidRDefault="004B3F7A">
      <w:r>
        <w:separator/>
      </w:r>
    </w:p>
  </w:endnote>
  <w:endnote w:type="continuationSeparator" w:id="0">
    <w:p w:rsidR="004B3F7A" w:rsidRDefault="004B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F7A" w:rsidRDefault="004B3F7A">
      <w:r>
        <w:separator/>
      </w:r>
    </w:p>
  </w:footnote>
  <w:footnote w:type="continuationSeparator" w:id="0">
    <w:p w:rsidR="004B3F7A" w:rsidRDefault="004B3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E3E37">
                          <w:pPr>
                            <w:spacing w:before="2" w:line="249" w:lineRule="auto"/>
                            <w:ind w:left="156" w:right="18" w:hanging="137"/>
                            <w:rPr>
                              <w:rFonts w:ascii="Arial"/>
                              <w:color w:val="FFFFFF" w:themeColor="background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E3E37">
                    <w:pPr>
                      <w:spacing w:before="2" w:line="249" w:lineRule="auto"/>
                      <w:ind w:left="156" w:right="18" w:hanging="137"/>
                      <w:rPr>
                        <w:rFonts w:ascii="Arial"/>
                        <w:color w:val="FFFFFF" w:themeColor="background1"/>
                        <w:sz w:val="14"/>
                      </w:rPr>
                    </w:pP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B3F7A"/>
    <w:rsid w:val="004F3523"/>
    <w:rsid w:val="005973B9"/>
    <w:rsid w:val="005B3A56"/>
    <w:rsid w:val="006060CE"/>
    <w:rsid w:val="0063497F"/>
    <w:rsid w:val="0084175F"/>
    <w:rsid w:val="0086137B"/>
    <w:rsid w:val="00873DF0"/>
    <w:rsid w:val="008756E6"/>
    <w:rsid w:val="008D3D15"/>
    <w:rsid w:val="009B2D44"/>
    <w:rsid w:val="00A07E82"/>
    <w:rsid w:val="00A4502B"/>
    <w:rsid w:val="00A9710C"/>
    <w:rsid w:val="00AE3E37"/>
    <w:rsid w:val="00B21A57"/>
    <w:rsid w:val="00B300CE"/>
    <w:rsid w:val="00C33602"/>
    <w:rsid w:val="00CD6F55"/>
    <w:rsid w:val="00DE3104"/>
    <w:rsid w:val="00E641EB"/>
    <w:rsid w:val="00EE1EF3"/>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Asia Pharma-2016</cp:lastModifiedBy>
  <cp:revision>9</cp:revision>
  <dcterms:created xsi:type="dcterms:W3CDTF">2016-08-31T10:27:00Z</dcterms:created>
  <dcterms:modified xsi:type="dcterms:W3CDTF">2016-11-17T05:45:00Z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