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14876" w:rsidRPr="00614876" w:rsidRDefault="00614876" w:rsidP="00614876">
      <w:pPr>
        <w:rPr>
          <w:rFonts w:ascii="Minion Pro" w:hAnsi="Minion Pro"/>
          <w:b/>
          <w:color w:val="0000FF"/>
          <w:sz w:val="36"/>
        </w:rPr>
      </w:pPr>
      <w:r w:rsidRPr="00614876">
        <w:rPr>
          <w:rFonts w:ascii="Minion Pro" w:hAnsi="Minion Pro"/>
          <w:b/>
          <w:color w:val="0000FF"/>
          <w:sz w:val="36"/>
        </w:rPr>
        <w:t xml:space="preserve">Significance of direct facial-hypoglossal </w:t>
      </w:r>
      <w:r w:rsidR="00AB3476">
        <w:rPr>
          <w:rFonts w:ascii="Minion Pro" w:hAnsi="Minion Pro"/>
          <w:b/>
          <w:color w:val="0000FF"/>
          <w:sz w:val="36"/>
          <w:lang w:eastAsia="ja-JP"/>
        </w:rPr>
        <w:t xml:space="preserve">nerve </w:t>
      </w:r>
      <w:r w:rsidRPr="00614876">
        <w:rPr>
          <w:rFonts w:ascii="Minion Pro" w:hAnsi="Minion Pro"/>
          <w:b/>
          <w:color w:val="0000FF"/>
          <w:sz w:val="36"/>
        </w:rPr>
        <w:t xml:space="preserve">end to side </w:t>
      </w:r>
      <w:proofErr w:type="spellStart"/>
      <w:r w:rsidRPr="00614876">
        <w:rPr>
          <w:rFonts w:ascii="Minion Pro" w:hAnsi="Minion Pro"/>
          <w:b/>
          <w:color w:val="0000FF"/>
          <w:sz w:val="36"/>
        </w:rPr>
        <w:t>neurorrhaphy</w:t>
      </w:r>
      <w:proofErr w:type="spellEnd"/>
      <w:r w:rsidRPr="00614876">
        <w:rPr>
          <w:rFonts w:ascii="Minion Pro" w:hAnsi="Minion Pro"/>
          <w:b/>
          <w:color w:val="0000FF"/>
          <w:sz w:val="36"/>
        </w:rPr>
        <w:t xml:space="preserve"> for facial reanimation</w:t>
      </w:r>
    </w:p>
    <w:p w:rsidR="00AE3E37" w:rsidRDefault="00614876" w:rsidP="00614876">
      <w:pPr>
        <w:pStyle w:val="a3"/>
        <w:spacing w:before="73" w:line="198" w:lineRule="exact"/>
        <w:ind w:left="100" w:right="5987"/>
        <w:rPr>
          <w:rFonts w:ascii="Arial"/>
          <w:sz w:val="20"/>
        </w:rPr>
      </w:pPr>
      <w:r>
        <w:rPr>
          <w:rFonts w:ascii="Arial"/>
        </w:rPr>
        <w:t xml:space="preserve">Kazuo Ishikawa, DM, PhD. Japanese Red </w:t>
      </w:r>
      <w:proofErr w:type="spellStart"/>
      <w:r>
        <w:rPr>
          <w:rFonts w:ascii="Arial"/>
        </w:rPr>
        <w:t>Croos</w:t>
      </w:r>
      <w:proofErr w:type="spellEnd"/>
      <w:r>
        <w:rPr>
          <w:rFonts w:ascii="Arial"/>
        </w:rPr>
        <w:t>, Akita Hospital, Japan</w:t>
      </w:r>
      <w:r w:rsidR="005973B9">
        <w:rPr>
          <w:rFonts w:ascii="Arial"/>
        </w:rPr>
        <w:t xml:space="preserve"> </w:t>
      </w:r>
    </w:p>
    <w:p w:rsidR="00AE3E37" w:rsidRDefault="00AE3E37">
      <w:pPr>
        <w:pStyle w:val="a3"/>
        <w:spacing w:before="3"/>
        <w:rPr>
          <w:rFonts w:ascii="Arial"/>
          <w:sz w:val="21"/>
        </w:rPr>
      </w:pPr>
    </w:p>
    <w:p w:rsidR="00AE3E37" w:rsidRDefault="00AE3E37">
      <w:pPr>
        <w:rPr>
          <w:rFonts w:ascii="Arial"/>
          <w:sz w:val="21"/>
        </w:rPr>
        <w:sectPr w:rsidR="00AE3E37">
          <w:headerReference w:type="default" r:id="rId7"/>
          <w:footerReference w:type="default" r:id="rId8"/>
          <w:type w:val="continuous"/>
          <w:pgSz w:w="11910" w:h="16840"/>
          <w:pgMar w:top="1740" w:right="600" w:bottom="840" w:left="620" w:header="541" w:footer="642" w:gutter="0"/>
        </w:sectPr>
      </w:pPr>
    </w:p>
    <w:p w:rsidR="00AE3E37" w:rsidRDefault="00A9710C">
      <w:pPr>
        <w:pStyle w:val="3"/>
        <w:spacing w:before="147"/>
        <w:jc w:val="both"/>
      </w:pPr>
      <w:r>
        <w:rPr>
          <w:color w:val="BF5A14"/>
        </w:rPr>
        <w:t>Abstract</w:t>
      </w:r>
      <w:r w:rsidR="00404E5B">
        <w:rPr>
          <w:color w:val="BF5A14"/>
        </w:rPr>
        <w:t xml:space="preserve"> (300 word limit)</w:t>
      </w:r>
    </w:p>
    <w:p w:rsidR="007D272C" w:rsidRPr="007D272C" w:rsidRDefault="007D272C" w:rsidP="007D272C">
      <w:pPr>
        <w:rPr>
          <w:sz w:val="20"/>
        </w:rPr>
      </w:pPr>
      <w:r w:rsidRPr="007D272C">
        <w:rPr>
          <w:sz w:val="20"/>
        </w:rPr>
        <w:t xml:space="preserve">Facial disfigurement could affect our social life and even cause psychological problems. It is especially important when the nerve is severed during surgical treatment of acoustic </w:t>
      </w:r>
      <w:proofErr w:type="spellStart"/>
      <w:r w:rsidRPr="007D272C">
        <w:rPr>
          <w:sz w:val="20"/>
        </w:rPr>
        <w:t>neuroma</w:t>
      </w:r>
      <w:proofErr w:type="spellEnd"/>
      <w:r w:rsidRPr="007D272C">
        <w:rPr>
          <w:sz w:val="20"/>
        </w:rPr>
        <w:t xml:space="preserve">, facial nerve tumor and temporal bone tumors. So far, interposition of free nerve graft or jump graft between facial and hypoglossal nerve will be the technique to be taken. However our recent technique of end to side facial-hypoglossal </w:t>
      </w:r>
      <w:proofErr w:type="spellStart"/>
      <w:r w:rsidRPr="007D272C">
        <w:rPr>
          <w:sz w:val="20"/>
        </w:rPr>
        <w:t>neurorrhapy</w:t>
      </w:r>
      <w:proofErr w:type="spellEnd"/>
      <w:r w:rsidRPr="007D272C">
        <w:rPr>
          <w:sz w:val="20"/>
        </w:rPr>
        <w:t xml:space="preserve"> relocating the vertical portion of the facial nerve could provide a better outcome when compared to the aforementioned previous techniques employed so far. Namely this technique could provide facial recovery up to the level nearly HB class II. We performed this technique in two cases with facial nerve tumor and one with acoustic </w:t>
      </w:r>
      <w:proofErr w:type="spellStart"/>
      <w:r w:rsidRPr="007D272C">
        <w:rPr>
          <w:sz w:val="20"/>
        </w:rPr>
        <w:t>neuroma</w:t>
      </w:r>
      <w:proofErr w:type="spellEnd"/>
      <w:r w:rsidRPr="007D272C">
        <w:rPr>
          <w:sz w:val="20"/>
        </w:rPr>
        <w:t>.</w:t>
      </w:r>
    </w:p>
    <w:p w:rsidR="007D272C" w:rsidRDefault="007D272C" w:rsidP="007D272C">
      <w:pPr>
        <w:rPr>
          <w:sz w:val="20"/>
        </w:rPr>
      </w:pPr>
      <w:r w:rsidRPr="007D272C">
        <w:rPr>
          <w:sz w:val="20"/>
        </w:rPr>
        <w:t xml:space="preserve">The detail of these cases will be shown along with the other technique of so-called super charge in selected cases.  Also several other techniques will be shown regarding facial nerve reconstruction used parotid cancer and so on.  </w:t>
      </w:r>
    </w:p>
    <w:p w:rsidR="007D272C" w:rsidRPr="007D272C" w:rsidRDefault="007D272C" w:rsidP="007D272C">
      <w:pPr>
        <w:rPr>
          <w:sz w:val="20"/>
        </w:rPr>
      </w:pPr>
      <w:r w:rsidRPr="007D272C">
        <w:rPr>
          <w:sz w:val="20"/>
        </w:rPr>
        <w:t xml:space="preserve">  </w:t>
      </w:r>
    </w:p>
    <w:p w:rsidR="001026A0" w:rsidRDefault="007D272C" w:rsidP="001026A0">
      <w:pPr>
        <w:pStyle w:val="3"/>
        <w:spacing w:before="74"/>
        <w:rPr>
          <w:color w:val="BF5A14"/>
        </w:rPr>
      </w:pPr>
      <w:r w:rsidRPr="007D272C">
        <w:rPr>
          <w:noProof/>
          <w:lang w:eastAsia="ja-JP"/>
        </w:rPr>
        <w:drawing>
          <wp:inline distT="0" distB="0" distL="0" distR="0">
            <wp:extent cx="1238250" cy="2044700"/>
            <wp:effectExtent l="25400" t="0" r="6350" b="0"/>
            <wp:docPr id="6" name="ｪ0ﾖ0ｸ0ｧ0ｯ0ﾈ0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8000" cy="5562600"/>
                      <a:chOff x="152400" y="1066800"/>
                      <a:chExt cx="3048000" cy="5562600"/>
                    </a:xfrm>
                  </a:grpSpPr>
                  <a:pic>
                    <a:nvPicPr>
                      <a:cNvPr id="9" name="Picture 7"/>
                      <a:cNvPicPr>
                        <a:picLocks noChangeAspect="1" noChangeArrowheads="1"/>
                      </a:cNvPicPr>
                    </a:nvPicPr>
                    <a:blipFill>
                      <a:blip r:embed="rId9"/>
                      <a:srcRect/>
                      <a:stretch>
                        <a:fillRect/>
                      </a:stretch>
                    </a:blipFill>
                    <a:spPr bwMode="auto">
                      <a:xfrm>
                        <a:off x="152400" y="1143000"/>
                        <a:ext cx="3048000" cy="1412875"/>
                      </a:xfrm>
                      <a:prstGeom prst="rect">
                        <a:avLst/>
                      </a:prstGeom>
                      <a:noFill/>
                      <a:ln w="9525">
                        <a:noFill/>
                        <a:miter lim="800000"/>
                        <a:headEnd/>
                        <a:tailEnd/>
                      </a:ln>
                    </a:spPr>
                  </a:pic>
                  <a:pic>
                    <a:nvPicPr>
                      <a:cNvPr id="10" name="Picture 8"/>
                      <a:cNvPicPr>
                        <a:picLocks noChangeAspect="1" noChangeArrowheads="1"/>
                      </a:cNvPicPr>
                    </a:nvPicPr>
                    <a:blipFill>
                      <a:blip r:embed="rId10"/>
                      <a:srcRect/>
                      <a:stretch>
                        <a:fillRect/>
                      </a:stretch>
                    </a:blipFill>
                    <a:spPr bwMode="auto">
                      <a:xfrm>
                        <a:off x="381000" y="3810000"/>
                        <a:ext cx="2405063" cy="2667000"/>
                      </a:xfrm>
                      <a:prstGeom prst="rect">
                        <a:avLst/>
                      </a:prstGeom>
                      <a:noFill/>
                      <a:ln w="9525">
                        <a:noFill/>
                        <a:miter lim="800000"/>
                        <a:headEnd/>
                        <a:tailEnd/>
                      </a:ln>
                    </a:spPr>
                  </a:pic>
                  <a:sp>
                    <a:nvSpPr>
                      <a:cNvPr id="11" name="Rectangle 9"/>
                      <a:cNvSpPr>
                        <a:spLocks noChangeArrowheads="1"/>
                      </a:cNvSpPr>
                    </a:nvSpPr>
                    <a:spPr bwMode="auto">
                      <a:xfrm>
                        <a:off x="152400" y="1066800"/>
                        <a:ext cx="3048000" cy="5562600"/>
                      </a:xfrm>
                      <a:prstGeom prst="rect">
                        <a:avLst/>
                      </a:prstGeom>
                      <a:noFill/>
                      <a:ln w="28575">
                        <a:solidFill>
                          <a:schemeClr val="tx1"/>
                        </a:solidFill>
                        <a:miter lim="800000"/>
                        <a:headEnd/>
                        <a:tailEnd/>
                      </a:ln>
                    </a:spPr>
                    <a:txSp>
                      <a:txBody>
                        <a:bodyPr wrap="none" anchor="ctr">
                          <a:prstTxWarp prst="textNoShape">
                            <a:avLst/>
                          </a:prstTxWarp>
                        </a:bodyPr>
                        <a:lstStyle>
                          <a:defPPr>
                            <a:defRPr lang="ja-JP"/>
                          </a:defPPr>
                          <a:lvl1pPr marL="0" algn="l" defTabSz="457200" rtl="0" eaLnBrk="1" latinLnBrk="0" hangingPunct="1">
                            <a:defRPr kumimoji="1" sz="1800" kern="1200">
                              <a:solidFill>
                                <a:schemeClr val="tx1"/>
                              </a:solidFill>
                              <a:latin typeface="+mn-lt"/>
                              <a:ea typeface="+mn-ea"/>
                              <a:cs typeface="+mn-cs"/>
                            </a:defRPr>
                          </a:lvl1pPr>
                          <a:lvl2pPr marL="457200" algn="l" defTabSz="457200" rtl="0" eaLnBrk="1" latinLnBrk="0" hangingPunct="1">
                            <a:defRPr kumimoji="1" sz="1800" kern="1200">
                              <a:solidFill>
                                <a:schemeClr val="tx1"/>
                              </a:solidFill>
                              <a:latin typeface="+mn-lt"/>
                              <a:ea typeface="+mn-ea"/>
                              <a:cs typeface="+mn-cs"/>
                            </a:defRPr>
                          </a:lvl2pPr>
                          <a:lvl3pPr marL="914400" algn="l" defTabSz="457200" rtl="0" eaLnBrk="1" latinLnBrk="0" hangingPunct="1">
                            <a:defRPr kumimoji="1" sz="1800" kern="1200">
                              <a:solidFill>
                                <a:schemeClr val="tx1"/>
                              </a:solidFill>
                              <a:latin typeface="+mn-lt"/>
                              <a:ea typeface="+mn-ea"/>
                              <a:cs typeface="+mn-cs"/>
                            </a:defRPr>
                          </a:lvl3pPr>
                          <a:lvl4pPr marL="1371600" algn="l" defTabSz="457200" rtl="0" eaLnBrk="1" latinLnBrk="0" hangingPunct="1">
                            <a:defRPr kumimoji="1" sz="1800" kern="1200">
                              <a:solidFill>
                                <a:schemeClr val="tx1"/>
                              </a:solidFill>
                              <a:latin typeface="+mn-lt"/>
                              <a:ea typeface="+mn-ea"/>
                              <a:cs typeface="+mn-cs"/>
                            </a:defRPr>
                          </a:lvl4pPr>
                          <a:lvl5pPr marL="1828800" algn="l" defTabSz="457200" rtl="0" eaLnBrk="1" latinLnBrk="0" hangingPunct="1">
                            <a:defRPr kumimoji="1" sz="1800" kern="1200">
                              <a:solidFill>
                                <a:schemeClr val="tx1"/>
                              </a:solidFill>
                              <a:latin typeface="+mn-lt"/>
                              <a:ea typeface="+mn-ea"/>
                              <a:cs typeface="+mn-cs"/>
                            </a:defRPr>
                          </a:lvl5pPr>
                          <a:lvl6pPr marL="2286000" algn="l" defTabSz="457200" rtl="0" eaLnBrk="1" latinLnBrk="0" hangingPunct="1">
                            <a:defRPr kumimoji="1" sz="1800" kern="1200">
                              <a:solidFill>
                                <a:schemeClr val="tx1"/>
                              </a:solidFill>
                              <a:latin typeface="+mn-lt"/>
                              <a:ea typeface="+mn-ea"/>
                              <a:cs typeface="+mn-cs"/>
                            </a:defRPr>
                          </a:lvl6pPr>
                          <a:lvl7pPr marL="2743200" algn="l" defTabSz="457200" rtl="0" eaLnBrk="1" latinLnBrk="0" hangingPunct="1">
                            <a:defRPr kumimoji="1" sz="1800" kern="1200">
                              <a:solidFill>
                                <a:schemeClr val="tx1"/>
                              </a:solidFill>
                              <a:latin typeface="+mn-lt"/>
                              <a:ea typeface="+mn-ea"/>
                              <a:cs typeface="+mn-cs"/>
                            </a:defRPr>
                          </a:lvl7pPr>
                          <a:lvl8pPr marL="3200400" algn="l" defTabSz="457200" rtl="0" eaLnBrk="1" latinLnBrk="0" hangingPunct="1">
                            <a:defRPr kumimoji="1" sz="1800" kern="1200">
                              <a:solidFill>
                                <a:schemeClr val="tx1"/>
                              </a:solidFill>
                              <a:latin typeface="+mn-lt"/>
                              <a:ea typeface="+mn-ea"/>
                              <a:cs typeface="+mn-cs"/>
                            </a:defRPr>
                          </a:lvl8pPr>
                          <a:lvl9pPr marL="3657600" algn="l" defTabSz="457200" rtl="0" eaLnBrk="1" latinLnBrk="0" hangingPunct="1">
                            <a:defRPr kumimoji="1" sz="1800" kern="1200">
                              <a:solidFill>
                                <a:schemeClr val="tx1"/>
                              </a:solidFill>
                              <a:latin typeface="+mn-lt"/>
                              <a:ea typeface="+mn-ea"/>
                              <a:cs typeface="+mn-cs"/>
                            </a:defRPr>
                          </a:lvl9pPr>
                        </a:lstStyle>
                        <a:p>
                          <a:endParaRPr lang="ja-JP" altLang="en-US"/>
                        </a:p>
                      </a:txBody>
                      <a:useSpRect/>
                    </a:txSp>
                  </a:sp>
                  <a:sp>
                    <a:nvSpPr>
                      <a:cNvPr id="13" name="Line 11"/>
                      <a:cNvSpPr>
                        <a:spLocks noChangeShapeType="1"/>
                      </a:cNvSpPr>
                    </a:nvSpPr>
                    <a:spPr bwMode="auto">
                      <a:xfrm flipH="1">
                        <a:off x="1676400" y="1295400"/>
                        <a:ext cx="152400" cy="304800"/>
                      </a:xfrm>
                      <a:prstGeom prst="line">
                        <a:avLst/>
                      </a:prstGeom>
                      <a:noFill/>
                      <a:ln w="57150">
                        <a:solidFill>
                          <a:srgbClr val="FF0C10"/>
                        </a:solidFill>
                        <a:round/>
                        <a:headEnd/>
                        <a:tailEnd type="triangle" w="med" len="med"/>
                      </a:ln>
                    </a:spPr>
                    <a:txSp>
                      <a:txBody>
                        <a:bodyPr wrap="none" anchor="ctr">
                          <a:prstTxWarp prst="textNoShape">
                            <a:avLst/>
                          </a:prstTxWarp>
                        </a:bodyPr>
                        <a:lstStyle>
                          <a:defPPr>
                            <a:defRPr lang="ja-JP"/>
                          </a:defPPr>
                          <a:lvl1pPr marL="0" algn="l" defTabSz="457200" rtl="0" eaLnBrk="1" latinLnBrk="0" hangingPunct="1">
                            <a:defRPr kumimoji="1" sz="1800" kern="1200">
                              <a:solidFill>
                                <a:schemeClr val="tx1"/>
                              </a:solidFill>
                              <a:latin typeface="+mn-lt"/>
                              <a:ea typeface="+mn-ea"/>
                              <a:cs typeface="+mn-cs"/>
                            </a:defRPr>
                          </a:lvl1pPr>
                          <a:lvl2pPr marL="457200" algn="l" defTabSz="457200" rtl="0" eaLnBrk="1" latinLnBrk="0" hangingPunct="1">
                            <a:defRPr kumimoji="1" sz="1800" kern="1200">
                              <a:solidFill>
                                <a:schemeClr val="tx1"/>
                              </a:solidFill>
                              <a:latin typeface="+mn-lt"/>
                              <a:ea typeface="+mn-ea"/>
                              <a:cs typeface="+mn-cs"/>
                            </a:defRPr>
                          </a:lvl2pPr>
                          <a:lvl3pPr marL="914400" algn="l" defTabSz="457200" rtl="0" eaLnBrk="1" latinLnBrk="0" hangingPunct="1">
                            <a:defRPr kumimoji="1" sz="1800" kern="1200">
                              <a:solidFill>
                                <a:schemeClr val="tx1"/>
                              </a:solidFill>
                              <a:latin typeface="+mn-lt"/>
                              <a:ea typeface="+mn-ea"/>
                              <a:cs typeface="+mn-cs"/>
                            </a:defRPr>
                          </a:lvl3pPr>
                          <a:lvl4pPr marL="1371600" algn="l" defTabSz="457200" rtl="0" eaLnBrk="1" latinLnBrk="0" hangingPunct="1">
                            <a:defRPr kumimoji="1" sz="1800" kern="1200">
                              <a:solidFill>
                                <a:schemeClr val="tx1"/>
                              </a:solidFill>
                              <a:latin typeface="+mn-lt"/>
                              <a:ea typeface="+mn-ea"/>
                              <a:cs typeface="+mn-cs"/>
                            </a:defRPr>
                          </a:lvl4pPr>
                          <a:lvl5pPr marL="1828800" algn="l" defTabSz="457200" rtl="0" eaLnBrk="1" latinLnBrk="0" hangingPunct="1">
                            <a:defRPr kumimoji="1" sz="1800" kern="1200">
                              <a:solidFill>
                                <a:schemeClr val="tx1"/>
                              </a:solidFill>
                              <a:latin typeface="+mn-lt"/>
                              <a:ea typeface="+mn-ea"/>
                              <a:cs typeface="+mn-cs"/>
                            </a:defRPr>
                          </a:lvl5pPr>
                          <a:lvl6pPr marL="2286000" algn="l" defTabSz="457200" rtl="0" eaLnBrk="1" latinLnBrk="0" hangingPunct="1">
                            <a:defRPr kumimoji="1" sz="1800" kern="1200">
                              <a:solidFill>
                                <a:schemeClr val="tx1"/>
                              </a:solidFill>
                              <a:latin typeface="+mn-lt"/>
                              <a:ea typeface="+mn-ea"/>
                              <a:cs typeface="+mn-cs"/>
                            </a:defRPr>
                          </a:lvl6pPr>
                          <a:lvl7pPr marL="2743200" algn="l" defTabSz="457200" rtl="0" eaLnBrk="1" latinLnBrk="0" hangingPunct="1">
                            <a:defRPr kumimoji="1" sz="1800" kern="1200">
                              <a:solidFill>
                                <a:schemeClr val="tx1"/>
                              </a:solidFill>
                              <a:latin typeface="+mn-lt"/>
                              <a:ea typeface="+mn-ea"/>
                              <a:cs typeface="+mn-cs"/>
                            </a:defRPr>
                          </a:lvl7pPr>
                          <a:lvl8pPr marL="3200400" algn="l" defTabSz="457200" rtl="0" eaLnBrk="1" latinLnBrk="0" hangingPunct="1">
                            <a:defRPr kumimoji="1" sz="1800" kern="1200">
                              <a:solidFill>
                                <a:schemeClr val="tx1"/>
                              </a:solidFill>
                              <a:latin typeface="+mn-lt"/>
                              <a:ea typeface="+mn-ea"/>
                              <a:cs typeface="+mn-cs"/>
                            </a:defRPr>
                          </a:lvl8pPr>
                          <a:lvl9pPr marL="3657600" algn="l" defTabSz="457200" rtl="0" eaLnBrk="1" latinLnBrk="0" hangingPunct="1">
                            <a:defRPr kumimoji="1" sz="1800" kern="1200">
                              <a:solidFill>
                                <a:schemeClr val="tx1"/>
                              </a:solidFill>
                              <a:latin typeface="+mn-lt"/>
                              <a:ea typeface="+mn-ea"/>
                              <a:cs typeface="+mn-cs"/>
                            </a:defRPr>
                          </a:lvl9pPr>
                        </a:lstStyle>
                        <a:p>
                          <a:endParaRPr lang="ja-JP" altLang="en-US"/>
                        </a:p>
                      </a:txBody>
                      <a:useSpRect/>
                    </a:txSp>
                  </a:sp>
                  <a:sp>
                    <a:nvSpPr>
                      <a:cNvPr id="20" name="テキスト ボックス 19"/>
                      <a:cNvSpPr txBox="1"/>
                    </a:nvSpPr>
                    <a:spPr>
                      <a:xfrm>
                        <a:off x="871209" y="2953647"/>
                        <a:ext cx="797476" cy="369332"/>
                      </a:xfrm>
                      <a:prstGeom prst="rect">
                        <a:avLst/>
                      </a:prstGeom>
                      <a:noFill/>
                    </a:spPr>
                    <a:txSp>
                      <a:txBody>
                        <a:bodyPr wrap="none" rtlCol="0">
                          <a:spAutoFit/>
                        </a:bodyPr>
                        <a:lstStyle>
                          <a:defPPr>
                            <a:defRPr lang="ja-JP"/>
                          </a:defPPr>
                          <a:lvl1pPr marL="0" algn="l" defTabSz="457200" rtl="0" eaLnBrk="1" latinLnBrk="0" hangingPunct="1">
                            <a:defRPr kumimoji="1" sz="1800" kern="1200">
                              <a:solidFill>
                                <a:schemeClr val="tx1"/>
                              </a:solidFill>
                              <a:latin typeface="+mn-lt"/>
                              <a:ea typeface="+mn-ea"/>
                              <a:cs typeface="+mn-cs"/>
                            </a:defRPr>
                          </a:lvl1pPr>
                          <a:lvl2pPr marL="457200" algn="l" defTabSz="457200" rtl="0" eaLnBrk="1" latinLnBrk="0" hangingPunct="1">
                            <a:defRPr kumimoji="1" sz="1800" kern="1200">
                              <a:solidFill>
                                <a:schemeClr val="tx1"/>
                              </a:solidFill>
                              <a:latin typeface="+mn-lt"/>
                              <a:ea typeface="+mn-ea"/>
                              <a:cs typeface="+mn-cs"/>
                            </a:defRPr>
                          </a:lvl2pPr>
                          <a:lvl3pPr marL="914400" algn="l" defTabSz="457200" rtl="0" eaLnBrk="1" latinLnBrk="0" hangingPunct="1">
                            <a:defRPr kumimoji="1" sz="1800" kern="1200">
                              <a:solidFill>
                                <a:schemeClr val="tx1"/>
                              </a:solidFill>
                              <a:latin typeface="+mn-lt"/>
                              <a:ea typeface="+mn-ea"/>
                              <a:cs typeface="+mn-cs"/>
                            </a:defRPr>
                          </a:lvl3pPr>
                          <a:lvl4pPr marL="1371600" algn="l" defTabSz="457200" rtl="0" eaLnBrk="1" latinLnBrk="0" hangingPunct="1">
                            <a:defRPr kumimoji="1" sz="1800" kern="1200">
                              <a:solidFill>
                                <a:schemeClr val="tx1"/>
                              </a:solidFill>
                              <a:latin typeface="+mn-lt"/>
                              <a:ea typeface="+mn-ea"/>
                              <a:cs typeface="+mn-cs"/>
                            </a:defRPr>
                          </a:lvl4pPr>
                          <a:lvl5pPr marL="1828800" algn="l" defTabSz="457200" rtl="0" eaLnBrk="1" latinLnBrk="0" hangingPunct="1">
                            <a:defRPr kumimoji="1" sz="1800" kern="1200">
                              <a:solidFill>
                                <a:schemeClr val="tx1"/>
                              </a:solidFill>
                              <a:latin typeface="+mn-lt"/>
                              <a:ea typeface="+mn-ea"/>
                              <a:cs typeface="+mn-cs"/>
                            </a:defRPr>
                          </a:lvl5pPr>
                          <a:lvl6pPr marL="2286000" algn="l" defTabSz="457200" rtl="0" eaLnBrk="1" latinLnBrk="0" hangingPunct="1">
                            <a:defRPr kumimoji="1" sz="1800" kern="1200">
                              <a:solidFill>
                                <a:schemeClr val="tx1"/>
                              </a:solidFill>
                              <a:latin typeface="+mn-lt"/>
                              <a:ea typeface="+mn-ea"/>
                              <a:cs typeface="+mn-cs"/>
                            </a:defRPr>
                          </a:lvl6pPr>
                          <a:lvl7pPr marL="2743200" algn="l" defTabSz="457200" rtl="0" eaLnBrk="1" latinLnBrk="0" hangingPunct="1">
                            <a:defRPr kumimoji="1" sz="1800" kern="1200">
                              <a:solidFill>
                                <a:schemeClr val="tx1"/>
                              </a:solidFill>
                              <a:latin typeface="+mn-lt"/>
                              <a:ea typeface="+mn-ea"/>
                              <a:cs typeface="+mn-cs"/>
                            </a:defRPr>
                          </a:lvl7pPr>
                          <a:lvl8pPr marL="3200400" algn="l" defTabSz="457200" rtl="0" eaLnBrk="1" latinLnBrk="0" hangingPunct="1">
                            <a:defRPr kumimoji="1" sz="1800" kern="1200">
                              <a:solidFill>
                                <a:schemeClr val="tx1"/>
                              </a:solidFill>
                              <a:latin typeface="+mn-lt"/>
                              <a:ea typeface="+mn-ea"/>
                              <a:cs typeface="+mn-cs"/>
                            </a:defRPr>
                          </a:lvl8pPr>
                          <a:lvl9pPr marL="3657600" algn="l" defTabSz="457200" rtl="0" eaLnBrk="1" latinLnBrk="0" hangingPunct="1">
                            <a:defRPr kumimoji="1" sz="1800" kern="1200">
                              <a:solidFill>
                                <a:schemeClr val="tx1"/>
                              </a:solidFill>
                              <a:latin typeface="+mn-lt"/>
                              <a:ea typeface="+mn-ea"/>
                              <a:cs typeface="+mn-cs"/>
                            </a:defRPr>
                          </a:lvl9pPr>
                        </a:lstStyle>
                        <a:p>
                          <a:r>
                            <a:rPr kumimoji="1" lang="en-US" altLang="ja-JP" dirty="0" err="1" smtClean="0"/>
                            <a:t>Preop</a:t>
                          </a:r>
                          <a:r>
                            <a:rPr kumimoji="1" lang="en-US" altLang="ja-JP" dirty="0" smtClean="0"/>
                            <a:t>.</a:t>
                          </a:r>
                          <a:endParaRPr kumimoji="1" lang="ja-JP" altLang="en-US" dirty="0"/>
                        </a:p>
                      </a:txBody>
                      <a:useSpRect/>
                    </a:txSp>
                  </a:sp>
                </lc:lockedCanvas>
              </a:graphicData>
            </a:graphic>
          </wp:inline>
        </w:drawing>
      </w:r>
      <w:r w:rsidR="001026A0" w:rsidRPr="001026A0">
        <w:rPr>
          <w:rFonts w:ascii="Tw Cen MT" w:eastAsia="Tw Cen MT" w:hAnsi="Tw Cen MT" w:cs="Tw Cen MT"/>
          <w:noProof/>
          <w:sz w:val="22"/>
          <w:szCs w:val="22"/>
          <w:lang w:eastAsia="ja-JP"/>
        </w:rPr>
        <w:t xml:space="preserve"> </w:t>
      </w:r>
      <w:r w:rsidR="001026A0" w:rsidRPr="001026A0">
        <w:rPr>
          <w:noProof/>
          <w:lang w:eastAsia="ja-JP"/>
        </w:rPr>
        <w:drawing>
          <wp:inline distT="0" distB="0" distL="0" distR="0">
            <wp:extent cx="1713231" cy="1266301"/>
            <wp:effectExtent l="25400" t="0" r="0" b="0"/>
            <wp:docPr id="7" name="ｪ0ﾖ0ｸ0ｧ0ｯ0ﾈ0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13231" cy="1266301"/>
                      <a:chOff x="2081695" y="1150558"/>
                      <a:chExt cx="1713231" cy="1266301"/>
                    </a:xfrm>
                  </a:grpSpPr>
                  <a:pic>
                    <a:nvPicPr>
                      <a:cNvPr id="4" name="Picture 5"/>
                      <a:cNvPicPr>
                        <a:picLocks noChangeAspect="1" noChangeArrowheads="1"/>
                      </a:cNvPicPr>
                    </a:nvPicPr>
                    <a:blipFill>
                      <a:blip r:embed="rId11"/>
                      <a:srcRect/>
                      <a:stretch>
                        <a:fillRect/>
                      </a:stretch>
                    </a:blipFill>
                    <a:spPr bwMode="auto">
                      <a:xfrm>
                        <a:off x="2081695" y="1150558"/>
                        <a:ext cx="1713231" cy="1266301"/>
                      </a:xfrm>
                      <a:prstGeom prst="rect">
                        <a:avLst/>
                      </a:prstGeom>
                      <a:noFill/>
                      <a:ln w="9525">
                        <a:noFill/>
                        <a:miter lim="800000"/>
                        <a:headEnd/>
                        <a:tailEnd/>
                      </a:ln>
                    </a:spPr>
                  </a:pic>
                  <a:sp>
                    <a:nvSpPr>
                      <a:cNvPr id="5" name="テキスト ボックス 4"/>
                      <a:cNvSpPr txBox="1"/>
                    </a:nvSpPr>
                    <a:spPr>
                      <a:xfrm>
                        <a:off x="2136300" y="1150558"/>
                        <a:ext cx="688860" cy="276999"/>
                      </a:xfrm>
                      <a:prstGeom prst="rect">
                        <a:avLst/>
                      </a:prstGeom>
                      <a:noFill/>
                    </a:spPr>
                    <a:txSp>
                      <a:txBody>
                        <a:bodyPr wrap="none" rtlCol="0">
                          <a:spAutoFit/>
                        </a:bodyPr>
                        <a:lstStyle>
                          <a:defPPr>
                            <a:defRPr lang="ja-JP"/>
                          </a:defPPr>
                          <a:lvl1pPr marL="0" algn="l" defTabSz="457200" rtl="0" eaLnBrk="1" latinLnBrk="0" hangingPunct="1">
                            <a:defRPr kumimoji="1" sz="1800" kern="1200">
                              <a:solidFill>
                                <a:schemeClr val="tx1"/>
                              </a:solidFill>
                              <a:latin typeface="+mn-lt"/>
                              <a:ea typeface="+mn-ea"/>
                              <a:cs typeface="+mn-cs"/>
                            </a:defRPr>
                          </a:lvl1pPr>
                          <a:lvl2pPr marL="457200" algn="l" defTabSz="457200" rtl="0" eaLnBrk="1" latinLnBrk="0" hangingPunct="1">
                            <a:defRPr kumimoji="1" sz="1800" kern="1200">
                              <a:solidFill>
                                <a:schemeClr val="tx1"/>
                              </a:solidFill>
                              <a:latin typeface="+mn-lt"/>
                              <a:ea typeface="+mn-ea"/>
                              <a:cs typeface="+mn-cs"/>
                            </a:defRPr>
                          </a:lvl2pPr>
                          <a:lvl3pPr marL="914400" algn="l" defTabSz="457200" rtl="0" eaLnBrk="1" latinLnBrk="0" hangingPunct="1">
                            <a:defRPr kumimoji="1" sz="1800" kern="1200">
                              <a:solidFill>
                                <a:schemeClr val="tx1"/>
                              </a:solidFill>
                              <a:latin typeface="+mn-lt"/>
                              <a:ea typeface="+mn-ea"/>
                              <a:cs typeface="+mn-cs"/>
                            </a:defRPr>
                          </a:lvl3pPr>
                          <a:lvl4pPr marL="1371600" algn="l" defTabSz="457200" rtl="0" eaLnBrk="1" latinLnBrk="0" hangingPunct="1">
                            <a:defRPr kumimoji="1" sz="1800" kern="1200">
                              <a:solidFill>
                                <a:schemeClr val="tx1"/>
                              </a:solidFill>
                              <a:latin typeface="+mn-lt"/>
                              <a:ea typeface="+mn-ea"/>
                              <a:cs typeface="+mn-cs"/>
                            </a:defRPr>
                          </a:lvl4pPr>
                          <a:lvl5pPr marL="1828800" algn="l" defTabSz="457200" rtl="0" eaLnBrk="1" latinLnBrk="0" hangingPunct="1">
                            <a:defRPr kumimoji="1" sz="1800" kern="1200">
                              <a:solidFill>
                                <a:schemeClr val="tx1"/>
                              </a:solidFill>
                              <a:latin typeface="+mn-lt"/>
                              <a:ea typeface="+mn-ea"/>
                              <a:cs typeface="+mn-cs"/>
                            </a:defRPr>
                          </a:lvl5pPr>
                          <a:lvl6pPr marL="2286000" algn="l" defTabSz="457200" rtl="0" eaLnBrk="1" latinLnBrk="0" hangingPunct="1">
                            <a:defRPr kumimoji="1" sz="1800" kern="1200">
                              <a:solidFill>
                                <a:schemeClr val="tx1"/>
                              </a:solidFill>
                              <a:latin typeface="+mn-lt"/>
                              <a:ea typeface="+mn-ea"/>
                              <a:cs typeface="+mn-cs"/>
                            </a:defRPr>
                          </a:lvl6pPr>
                          <a:lvl7pPr marL="2743200" algn="l" defTabSz="457200" rtl="0" eaLnBrk="1" latinLnBrk="0" hangingPunct="1">
                            <a:defRPr kumimoji="1" sz="1800" kern="1200">
                              <a:solidFill>
                                <a:schemeClr val="tx1"/>
                              </a:solidFill>
                              <a:latin typeface="+mn-lt"/>
                              <a:ea typeface="+mn-ea"/>
                              <a:cs typeface="+mn-cs"/>
                            </a:defRPr>
                          </a:lvl7pPr>
                          <a:lvl8pPr marL="3200400" algn="l" defTabSz="457200" rtl="0" eaLnBrk="1" latinLnBrk="0" hangingPunct="1">
                            <a:defRPr kumimoji="1" sz="1800" kern="1200">
                              <a:solidFill>
                                <a:schemeClr val="tx1"/>
                              </a:solidFill>
                              <a:latin typeface="+mn-lt"/>
                              <a:ea typeface="+mn-ea"/>
                              <a:cs typeface="+mn-cs"/>
                            </a:defRPr>
                          </a:lvl8pPr>
                          <a:lvl9pPr marL="3657600" algn="l" defTabSz="457200" rtl="0" eaLnBrk="1" latinLnBrk="0" hangingPunct="1">
                            <a:defRPr kumimoji="1" sz="1800" kern="1200">
                              <a:solidFill>
                                <a:schemeClr val="tx1"/>
                              </a:solidFill>
                              <a:latin typeface="+mn-lt"/>
                              <a:ea typeface="+mn-ea"/>
                              <a:cs typeface="+mn-cs"/>
                            </a:defRPr>
                          </a:lvl9pPr>
                        </a:lstStyle>
                        <a:p>
                          <a:r>
                            <a:rPr lang="en-US" altLang="ja-JP" sz="1200" dirty="0" smtClean="0">
                              <a:solidFill>
                                <a:schemeClr val="bg1"/>
                              </a:solidFill>
                            </a:rPr>
                            <a:t>Facial </a:t>
                          </a:r>
                          <a:r>
                            <a:rPr lang="en-US" altLang="ja-JP" sz="1200" dirty="0" err="1" smtClean="0">
                              <a:solidFill>
                                <a:schemeClr val="bg1"/>
                              </a:solidFill>
                            </a:rPr>
                            <a:t>n</a:t>
                          </a:r>
                          <a:r>
                            <a:rPr lang="en-US" altLang="ja-JP" sz="1200" dirty="0" smtClean="0">
                              <a:solidFill>
                                <a:schemeClr val="bg1"/>
                              </a:solidFill>
                            </a:rPr>
                            <a:t>.</a:t>
                          </a:r>
                          <a:endParaRPr kumimoji="1" lang="ja-JP" altLang="en-US" sz="1200" dirty="0">
                            <a:solidFill>
                              <a:schemeClr val="bg1"/>
                            </a:solidFill>
                          </a:endParaRPr>
                        </a:p>
                      </a:txBody>
                      <a:useSpRect/>
                    </a:txSp>
                  </a:sp>
                  <a:sp>
                    <a:nvSpPr>
                      <a:cNvPr id="6" name="テキスト ボックス 5"/>
                      <a:cNvSpPr txBox="1"/>
                    </a:nvSpPr>
                    <a:spPr>
                      <a:xfrm>
                        <a:off x="2532728" y="2082319"/>
                        <a:ext cx="1085003" cy="276999"/>
                      </a:xfrm>
                      <a:prstGeom prst="rect">
                        <a:avLst/>
                      </a:prstGeom>
                      <a:noFill/>
                    </a:spPr>
                    <a:txSp>
                      <a:txBody>
                        <a:bodyPr wrap="none" rtlCol="0">
                          <a:spAutoFit/>
                        </a:bodyPr>
                        <a:lstStyle>
                          <a:defPPr>
                            <a:defRPr lang="ja-JP"/>
                          </a:defPPr>
                          <a:lvl1pPr marL="0" algn="l" defTabSz="457200" rtl="0" eaLnBrk="1" latinLnBrk="0" hangingPunct="1">
                            <a:defRPr kumimoji="1" sz="1800" kern="1200">
                              <a:solidFill>
                                <a:schemeClr val="tx1"/>
                              </a:solidFill>
                              <a:latin typeface="+mn-lt"/>
                              <a:ea typeface="+mn-ea"/>
                              <a:cs typeface="+mn-cs"/>
                            </a:defRPr>
                          </a:lvl1pPr>
                          <a:lvl2pPr marL="457200" algn="l" defTabSz="457200" rtl="0" eaLnBrk="1" latinLnBrk="0" hangingPunct="1">
                            <a:defRPr kumimoji="1" sz="1800" kern="1200">
                              <a:solidFill>
                                <a:schemeClr val="tx1"/>
                              </a:solidFill>
                              <a:latin typeface="+mn-lt"/>
                              <a:ea typeface="+mn-ea"/>
                              <a:cs typeface="+mn-cs"/>
                            </a:defRPr>
                          </a:lvl2pPr>
                          <a:lvl3pPr marL="914400" algn="l" defTabSz="457200" rtl="0" eaLnBrk="1" latinLnBrk="0" hangingPunct="1">
                            <a:defRPr kumimoji="1" sz="1800" kern="1200">
                              <a:solidFill>
                                <a:schemeClr val="tx1"/>
                              </a:solidFill>
                              <a:latin typeface="+mn-lt"/>
                              <a:ea typeface="+mn-ea"/>
                              <a:cs typeface="+mn-cs"/>
                            </a:defRPr>
                          </a:lvl3pPr>
                          <a:lvl4pPr marL="1371600" algn="l" defTabSz="457200" rtl="0" eaLnBrk="1" latinLnBrk="0" hangingPunct="1">
                            <a:defRPr kumimoji="1" sz="1800" kern="1200">
                              <a:solidFill>
                                <a:schemeClr val="tx1"/>
                              </a:solidFill>
                              <a:latin typeface="+mn-lt"/>
                              <a:ea typeface="+mn-ea"/>
                              <a:cs typeface="+mn-cs"/>
                            </a:defRPr>
                          </a:lvl4pPr>
                          <a:lvl5pPr marL="1828800" algn="l" defTabSz="457200" rtl="0" eaLnBrk="1" latinLnBrk="0" hangingPunct="1">
                            <a:defRPr kumimoji="1" sz="1800" kern="1200">
                              <a:solidFill>
                                <a:schemeClr val="tx1"/>
                              </a:solidFill>
                              <a:latin typeface="+mn-lt"/>
                              <a:ea typeface="+mn-ea"/>
                              <a:cs typeface="+mn-cs"/>
                            </a:defRPr>
                          </a:lvl5pPr>
                          <a:lvl6pPr marL="2286000" algn="l" defTabSz="457200" rtl="0" eaLnBrk="1" latinLnBrk="0" hangingPunct="1">
                            <a:defRPr kumimoji="1" sz="1800" kern="1200">
                              <a:solidFill>
                                <a:schemeClr val="tx1"/>
                              </a:solidFill>
                              <a:latin typeface="+mn-lt"/>
                              <a:ea typeface="+mn-ea"/>
                              <a:cs typeface="+mn-cs"/>
                            </a:defRPr>
                          </a:lvl6pPr>
                          <a:lvl7pPr marL="2743200" algn="l" defTabSz="457200" rtl="0" eaLnBrk="1" latinLnBrk="0" hangingPunct="1">
                            <a:defRPr kumimoji="1" sz="1800" kern="1200">
                              <a:solidFill>
                                <a:schemeClr val="tx1"/>
                              </a:solidFill>
                              <a:latin typeface="+mn-lt"/>
                              <a:ea typeface="+mn-ea"/>
                              <a:cs typeface="+mn-cs"/>
                            </a:defRPr>
                          </a:lvl7pPr>
                          <a:lvl8pPr marL="3200400" algn="l" defTabSz="457200" rtl="0" eaLnBrk="1" latinLnBrk="0" hangingPunct="1">
                            <a:defRPr kumimoji="1" sz="1800" kern="1200">
                              <a:solidFill>
                                <a:schemeClr val="tx1"/>
                              </a:solidFill>
                              <a:latin typeface="+mn-lt"/>
                              <a:ea typeface="+mn-ea"/>
                              <a:cs typeface="+mn-cs"/>
                            </a:defRPr>
                          </a:lvl8pPr>
                          <a:lvl9pPr marL="3657600" algn="l" defTabSz="457200" rtl="0" eaLnBrk="1" latinLnBrk="0" hangingPunct="1">
                            <a:defRPr kumimoji="1" sz="1800" kern="1200">
                              <a:solidFill>
                                <a:schemeClr val="tx1"/>
                              </a:solidFill>
                              <a:latin typeface="+mn-lt"/>
                              <a:ea typeface="+mn-ea"/>
                              <a:cs typeface="+mn-cs"/>
                            </a:defRPr>
                          </a:lvl9pPr>
                        </a:lstStyle>
                        <a:p>
                          <a:r>
                            <a:rPr kumimoji="1" lang="en-US" altLang="ja-JP" sz="1200" dirty="0" smtClean="0">
                              <a:solidFill>
                                <a:srgbClr val="FFFFFF"/>
                              </a:solidFill>
                            </a:rPr>
                            <a:t>Hypoglossal </a:t>
                          </a:r>
                          <a:r>
                            <a:rPr kumimoji="1" lang="en-US" altLang="ja-JP" sz="1200" dirty="0" err="1" smtClean="0">
                              <a:solidFill>
                                <a:srgbClr val="FFFFFF"/>
                              </a:solidFill>
                            </a:rPr>
                            <a:t>n</a:t>
                          </a:r>
                          <a:r>
                            <a:rPr kumimoji="1" lang="en-US" altLang="ja-JP" sz="1200" dirty="0" smtClean="0">
                              <a:solidFill>
                                <a:srgbClr val="FFFFFF"/>
                              </a:solidFill>
                            </a:rPr>
                            <a:t>.</a:t>
                          </a:r>
                          <a:endParaRPr kumimoji="1" lang="ja-JP" altLang="en-US" sz="1200" dirty="0">
                            <a:solidFill>
                              <a:srgbClr val="FFFFFF"/>
                            </a:solidFill>
                          </a:endParaRPr>
                        </a:p>
                      </a:txBody>
                      <a:useSpRect/>
                    </a:txSp>
                  </a:sp>
                  <a:cxnSp>
                    <a:nvCxnSpPr>
                      <a:cNvPr id="11" name="直線矢印コネクタ 10"/>
                      <a:cNvCxnSpPr/>
                    </a:nvCxnSpPr>
                    <a:spPr>
                      <a:xfrm rot="5400000">
                        <a:off x="2699635" y="1410356"/>
                        <a:ext cx="191987" cy="1588"/>
                      </a:xfrm>
                      <a:prstGeom prst="straightConnector1">
                        <a:avLst/>
                      </a:prstGeom>
                      <a:ln>
                        <a:solidFill>
                          <a:srgbClr val="FFFFFF"/>
                        </a:solidFill>
                        <a:tailEnd type="arrow"/>
                      </a:ln>
                    </a:spPr>
                    <a:style>
                      <a:lnRef idx="2">
                        <a:schemeClr val="accent1"/>
                      </a:lnRef>
                      <a:fillRef idx="0">
                        <a:schemeClr val="accent1"/>
                      </a:fillRef>
                      <a:effectRef idx="1">
                        <a:schemeClr val="accent1"/>
                      </a:effectRef>
                      <a:fontRef idx="minor">
                        <a:schemeClr val="tx1"/>
                      </a:fontRef>
                    </a:style>
                  </a:cxnSp>
                  <a:cxnSp>
                    <a:nvCxnSpPr>
                      <a:cNvPr id="13" name="直線矢印コネクタ 12"/>
                      <a:cNvCxnSpPr/>
                    </a:nvCxnSpPr>
                    <a:spPr>
                      <a:xfrm rot="16200000" flipV="1">
                        <a:off x="2921170" y="2001096"/>
                        <a:ext cx="285660" cy="14766"/>
                      </a:xfrm>
                      <a:prstGeom prst="straightConnector1">
                        <a:avLst/>
                      </a:prstGeom>
                      <a:ln>
                        <a:solidFill>
                          <a:srgbClr val="FFFFFF"/>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1026A0" w:rsidRDefault="001026A0" w:rsidP="001026A0">
      <w:pPr>
        <w:pStyle w:val="3"/>
        <w:spacing w:before="74"/>
        <w:rPr>
          <w:color w:val="BF5A14"/>
        </w:rPr>
      </w:pPr>
    </w:p>
    <w:p w:rsidR="001026A0" w:rsidRDefault="001026A0" w:rsidP="001026A0">
      <w:pPr>
        <w:pStyle w:val="3"/>
        <w:spacing w:before="74"/>
        <w:rPr>
          <w:sz w:val="16"/>
        </w:rPr>
      </w:pPr>
      <w:r w:rsidRPr="001026A0">
        <w:rPr>
          <w:noProof/>
          <w:sz w:val="16"/>
          <w:lang w:eastAsia="ja-JP"/>
        </w:rPr>
        <w:drawing>
          <wp:inline distT="0" distB="0" distL="0" distR="0">
            <wp:extent cx="719667" cy="688848"/>
            <wp:effectExtent l="25400" t="0" r="0" b="0"/>
            <wp:docPr id="12" name=" 7"/>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723302" cy="692327"/>
                    </a:xfrm>
                    <a:prstGeom prst="rect">
                      <a:avLst/>
                    </a:prstGeom>
                    <a:noFill/>
                    <a:ln w="9525">
                      <a:noFill/>
                      <a:miter lim="800000"/>
                      <a:headEnd/>
                      <a:tailEnd/>
                    </a:ln>
                  </pic:spPr>
                </pic:pic>
              </a:graphicData>
            </a:graphic>
          </wp:inline>
        </w:drawing>
      </w:r>
      <w:r w:rsidRPr="001026A0">
        <w:rPr>
          <w:noProof/>
          <w:sz w:val="16"/>
          <w:lang w:eastAsia="ja-JP"/>
        </w:rPr>
        <w:drawing>
          <wp:inline distT="0" distB="0" distL="0" distR="0">
            <wp:extent cx="743993" cy="716345"/>
            <wp:effectExtent l="25400" t="0" r="0" b="0"/>
            <wp:docPr id="13" name=" 8"/>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743993" cy="716345"/>
                    </a:xfrm>
                    <a:prstGeom prst="rect">
                      <a:avLst/>
                    </a:prstGeom>
                    <a:noFill/>
                    <a:ln w="9525">
                      <a:noFill/>
                      <a:miter lim="800000"/>
                      <a:headEnd/>
                      <a:tailEnd/>
                    </a:ln>
                  </pic:spPr>
                </pic:pic>
              </a:graphicData>
            </a:graphic>
          </wp:inline>
        </w:drawing>
      </w:r>
      <w:r w:rsidRPr="001026A0">
        <w:rPr>
          <w:noProof/>
          <w:sz w:val="16"/>
          <w:lang w:eastAsia="ja-JP"/>
        </w:rPr>
        <w:drawing>
          <wp:inline distT="0" distB="0" distL="0" distR="0">
            <wp:extent cx="675063" cy="697481"/>
            <wp:effectExtent l="25400" t="0" r="10737" b="0"/>
            <wp:docPr id="14" name=" 9"/>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75063" cy="697481"/>
                    </a:xfrm>
                    <a:prstGeom prst="rect">
                      <a:avLst/>
                    </a:prstGeom>
                    <a:noFill/>
                    <a:ln w="9525">
                      <a:noFill/>
                      <a:miter lim="800000"/>
                      <a:headEnd/>
                      <a:tailEnd/>
                    </a:ln>
                  </pic:spPr>
                </pic:pic>
              </a:graphicData>
            </a:graphic>
          </wp:inline>
        </w:drawing>
      </w:r>
      <w:r w:rsidRPr="001026A0">
        <w:rPr>
          <w:noProof/>
          <w:sz w:val="16"/>
          <w:lang w:eastAsia="ja-JP"/>
        </w:rPr>
        <w:drawing>
          <wp:inline distT="0" distB="0" distL="0" distR="0">
            <wp:extent cx="662297" cy="716344"/>
            <wp:effectExtent l="25400" t="0" r="0" b="0"/>
            <wp:docPr id="15" name=" 10"/>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62297" cy="716344"/>
                    </a:xfrm>
                    <a:prstGeom prst="rect">
                      <a:avLst/>
                    </a:prstGeom>
                    <a:noFill/>
                    <a:ln w="9525">
                      <a:noFill/>
                      <a:miter lim="800000"/>
                      <a:headEnd/>
                      <a:tailEnd/>
                    </a:ln>
                  </pic:spPr>
                </pic:pic>
              </a:graphicData>
            </a:graphic>
          </wp:inline>
        </w:drawing>
      </w:r>
    </w:p>
    <w:p w:rsidR="00AE3E37" w:rsidRDefault="001026A0" w:rsidP="001026A0">
      <w:pPr>
        <w:pStyle w:val="3"/>
        <w:spacing w:before="74"/>
        <w:rPr>
          <w:sz w:val="16"/>
        </w:rPr>
      </w:pPr>
      <w:r>
        <w:rPr>
          <w:sz w:val="16"/>
        </w:rPr>
        <w:t xml:space="preserve">        1.5 years after the surgery</w:t>
      </w:r>
    </w:p>
    <w:p w:rsidR="005973B9" w:rsidRDefault="005973B9" w:rsidP="005973B9">
      <w:pPr>
        <w:spacing w:line="204" w:lineRule="exact"/>
        <w:rPr>
          <w:rFonts w:ascii="Arial"/>
          <w:b/>
          <w:sz w:val="20"/>
        </w:rPr>
      </w:pPr>
      <w:r>
        <w:rPr>
          <w:rFonts w:ascii="Arial"/>
          <w:b/>
          <w:color w:val="BF5A14"/>
          <w:sz w:val="20"/>
        </w:rPr>
        <w:br/>
        <w:t>Recent Publications (minimum 5)</w:t>
      </w:r>
    </w:p>
    <w:p w:rsidR="005973B9" w:rsidRPr="00023B7E" w:rsidRDefault="00023B7E" w:rsidP="005973B9">
      <w:pPr>
        <w:pStyle w:val="a5"/>
        <w:numPr>
          <w:ilvl w:val="0"/>
          <w:numId w:val="3"/>
        </w:numPr>
        <w:tabs>
          <w:tab w:val="left" w:pos="384"/>
        </w:tabs>
        <w:spacing w:line="216" w:lineRule="exact"/>
        <w:ind w:right="138" w:hanging="283"/>
        <w:rPr>
          <w:sz w:val="20"/>
        </w:rPr>
      </w:pPr>
      <w:r w:rsidRPr="00023B7E">
        <w:rPr>
          <w:rFonts w:ascii="Times New Roman" w:eastAsia="ＭＳ 明朝" w:hAnsi="Times New Roman" w:cs="Times New Roman"/>
          <w:sz w:val="20"/>
        </w:rPr>
        <w:t xml:space="preserve">Mohamed A, Ishikawa K, et al: Giant </w:t>
      </w:r>
      <w:r w:rsidRPr="00023B7E">
        <w:rPr>
          <w:rFonts w:ascii="Century" w:eastAsia="ＭＳ 明朝" w:hAnsi="Century" w:cs="Times New Roman" w:hint="eastAsia"/>
          <w:sz w:val="20"/>
        </w:rPr>
        <w:t>c</w:t>
      </w:r>
      <w:r w:rsidRPr="00023B7E">
        <w:rPr>
          <w:rFonts w:ascii="Times New Roman" w:eastAsia="ＭＳ 明朝" w:hAnsi="Times New Roman" w:cs="Times New Roman"/>
          <w:sz w:val="20"/>
        </w:rPr>
        <w:t xml:space="preserve">ell </w:t>
      </w:r>
      <w:r w:rsidRPr="00023B7E">
        <w:rPr>
          <w:rFonts w:ascii="Century" w:eastAsia="ＭＳ 明朝" w:hAnsi="Century" w:cs="Times New Roman" w:hint="eastAsia"/>
          <w:sz w:val="20"/>
        </w:rPr>
        <w:t>t</w:t>
      </w:r>
      <w:r w:rsidRPr="00023B7E">
        <w:rPr>
          <w:rFonts w:ascii="Times New Roman" w:eastAsia="ＭＳ 明朝" w:hAnsi="Times New Roman" w:cs="Times New Roman"/>
          <w:sz w:val="20"/>
        </w:rPr>
        <w:t xml:space="preserve">umor of the temporal bone invading into the </w:t>
      </w:r>
      <w:proofErr w:type="spellStart"/>
      <w:r w:rsidRPr="00023B7E">
        <w:rPr>
          <w:rFonts w:ascii="Times New Roman" w:eastAsia="ＭＳ 明朝" w:hAnsi="Times New Roman" w:cs="Times New Roman"/>
          <w:sz w:val="20"/>
        </w:rPr>
        <w:t>pterygoid</w:t>
      </w:r>
      <w:proofErr w:type="spellEnd"/>
      <w:r w:rsidRPr="00023B7E">
        <w:rPr>
          <w:rFonts w:ascii="Times New Roman" w:eastAsia="ＭＳ 明朝" w:hAnsi="Times New Roman" w:cs="Times New Roman"/>
          <w:sz w:val="20"/>
        </w:rPr>
        <w:t xml:space="preserve"> muscle through the </w:t>
      </w:r>
      <w:proofErr w:type="spellStart"/>
      <w:r w:rsidRPr="00023B7E">
        <w:rPr>
          <w:rFonts w:ascii="Times New Roman" w:eastAsia="ＭＳ 明朝" w:hAnsi="Times New Roman" w:cs="Times New Roman"/>
          <w:sz w:val="20"/>
        </w:rPr>
        <w:t>temporomandibular</w:t>
      </w:r>
      <w:proofErr w:type="spellEnd"/>
      <w:r w:rsidRPr="00023B7E">
        <w:rPr>
          <w:rFonts w:ascii="Times New Roman" w:eastAsia="ＭＳ 明朝" w:hAnsi="Times New Roman" w:cs="Times New Roman"/>
          <w:sz w:val="20"/>
        </w:rPr>
        <w:t xml:space="preserve"> joint Mohamed.   J </w:t>
      </w:r>
      <w:proofErr w:type="spellStart"/>
      <w:r w:rsidRPr="00023B7E">
        <w:rPr>
          <w:rFonts w:ascii="Times New Roman" w:eastAsia="ＭＳ 明朝" w:hAnsi="Times New Roman" w:cs="Times New Roman"/>
          <w:sz w:val="20"/>
        </w:rPr>
        <w:t>Neurol</w:t>
      </w:r>
      <w:proofErr w:type="spellEnd"/>
      <w:r w:rsidRPr="00023B7E">
        <w:rPr>
          <w:rFonts w:ascii="Times New Roman" w:eastAsia="ＭＳ 明朝" w:hAnsi="Times New Roman" w:cs="Times New Roman"/>
          <w:sz w:val="20"/>
        </w:rPr>
        <w:t xml:space="preserve"> </w:t>
      </w:r>
      <w:proofErr w:type="spellStart"/>
      <w:r w:rsidRPr="00023B7E">
        <w:rPr>
          <w:rFonts w:ascii="Times New Roman" w:eastAsia="ＭＳ 明朝" w:hAnsi="Times New Roman" w:cs="Times New Roman"/>
          <w:sz w:val="20"/>
        </w:rPr>
        <w:t>Surg</w:t>
      </w:r>
      <w:proofErr w:type="spellEnd"/>
      <w:r w:rsidRPr="00023B7E">
        <w:rPr>
          <w:rFonts w:ascii="Times New Roman" w:eastAsia="ＭＳ 明朝" w:hAnsi="Times New Roman" w:cs="Times New Roman"/>
          <w:sz w:val="20"/>
        </w:rPr>
        <w:t xml:space="preserve"> Rep   75:136-140, 2014</w:t>
      </w:r>
      <w:r w:rsidRPr="00023B7E">
        <w:rPr>
          <w:rFonts w:ascii="Times New Roman" w:eastAsia="ＭＳ Ｐゴシック" w:hAnsi="Times New Roman" w:cs="Times New Roman"/>
          <w:b/>
          <w:sz w:val="20"/>
          <w:u w:val="single"/>
        </w:rPr>
        <w:t xml:space="preserve"> </w:t>
      </w:r>
    </w:p>
    <w:p w:rsidR="00023B7E" w:rsidRPr="00023B7E" w:rsidRDefault="00023B7E" w:rsidP="005973B9">
      <w:pPr>
        <w:pStyle w:val="a5"/>
        <w:numPr>
          <w:ilvl w:val="0"/>
          <w:numId w:val="3"/>
        </w:numPr>
        <w:tabs>
          <w:tab w:val="left" w:pos="384"/>
        </w:tabs>
        <w:spacing w:before="92" w:line="218" w:lineRule="exact"/>
        <w:ind w:hanging="283"/>
        <w:rPr>
          <w:sz w:val="20"/>
        </w:rPr>
      </w:pPr>
      <w:r w:rsidRPr="00023B7E">
        <w:rPr>
          <w:rFonts w:ascii="Times New Roman" w:eastAsia="ＭＳ 明朝" w:hAnsi="Times New Roman" w:cs="Times New Roman"/>
          <w:sz w:val="20"/>
        </w:rPr>
        <w:t xml:space="preserve">Mohamed A, Ishikawa K, et al: Large middle ear </w:t>
      </w:r>
      <w:proofErr w:type="spellStart"/>
      <w:r w:rsidRPr="00023B7E">
        <w:rPr>
          <w:rFonts w:ascii="Times New Roman" w:eastAsia="ＭＳ 明朝" w:hAnsi="Times New Roman" w:cs="Times New Roman"/>
          <w:sz w:val="20"/>
        </w:rPr>
        <w:t>schwannoma</w:t>
      </w:r>
      <w:proofErr w:type="spellEnd"/>
      <w:r w:rsidRPr="00023B7E">
        <w:rPr>
          <w:rFonts w:ascii="Times New Roman" w:eastAsia="ＭＳ 明朝" w:hAnsi="Times New Roman" w:cs="Times New Roman"/>
          <w:sz w:val="20"/>
        </w:rPr>
        <w:t xml:space="preserve"> of the Jacobson's nerve with intracranial extension. </w:t>
      </w:r>
      <w:proofErr w:type="spellStart"/>
      <w:r w:rsidRPr="00023B7E">
        <w:rPr>
          <w:rFonts w:ascii="Times New Roman" w:eastAsia="ＭＳ 明朝" w:hAnsi="Times New Roman" w:cs="Times New Roman"/>
          <w:sz w:val="20"/>
        </w:rPr>
        <w:t>Auris</w:t>
      </w:r>
      <w:proofErr w:type="spellEnd"/>
      <w:r w:rsidRPr="00023B7E">
        <w:rPr>
          <w:rFonts w:ascii="Times New Roman" w:eastAsia="ＭＳ 明朝" w:hAnsi="Times New Roman" w:cs="Times New Roman"/>
          <w:sz w:val="20"/>
        </w:rPr>
        <w:t xml:space="preserve"> </w:t>
      </w:r>
      <w:proofErr w:type="spellStart"/>
      <w:r w:rsidRPr="00023B7E">
        <w:rPr>
          <w:rFonts w:ascii="Times New Roman" w:eastAsia="ＭＳ 明朝" w:hAnsi="Times New Roman" w:cs="Times New Roman"/>
          <w:sz w:val="20"/>
        </w:rPr>
        <w:t>Nasus</w:t>
      </w:r>
      <w:proofErr w:type="spellEnd"/>
      <w:r w:rsidRPr="00023B7E">
        <w:rPr>
          <w:rFonts w:ascii="Times New Roman" w:eastAsia="ＭＳ 明朝" w:hAnsi="Times New Roman" w:cs="Times New Roman"/>
          <w:sz w:val="20"/>
        </w:rPr>
        <w:t xml:space="preserve"> </w:t>
      </w:r>
      <w:proofErr w:type="gramStart"/>
      <w:r w:rsidRPr="00023B7E">
        <w:rPr>
          <w:rFonts w:ascii="Times New Roman" w:eastAsia="ＭＳ 明朝" w:hAnsi="Times New Roman" w:cs="Times New Roman"/>
          <w:sz w:val="20"/>
        </w:rPr>
        <w:t>Larynx  41:491</w:t>
      </w:r>
      <w:proofErr w:type="gramEnd"/>
      <w:r w:rsidRPr="00023B7E">
        <w:rPr>
          <w:rFonts w:ascii="Times New Roman" w:eastAsia="ＭＳ 明朝" w:hAnsi="Times New Roman" w:cs="Times New Roman"/>
          <w:sz w:val="20"/>
        </w:rPr>
        <w:t>-495, 2014</w:t>
      </w:r>
      <w:r w:rsidRPr="00023B7E">
        <w:rPr>
          <w:rFonts w:ascii="Times New Roman" w:eastAsia="ＭＳ Ｐゴシック" w:hAnsi="Times New Roman" w:cs="Times New Roman"/>
          <w:sz w:val="20"/>
        </w:rPr>
        <w:t xml:space="preserve"> </w:t>
      </w:r>
    </w:p>
    <w:p w:rsidR="00023B7E" w:rsidRPr="00023B7E" w:rsidRDefault="00023B7E" w:rsidP="005973B9">
      <w:pPr>
        <w:pStyle w:val="a3"/>
        <w:spacing w:before="85" w:line="216" w:lineRule="exact"/>
        <w:ind w:left="383" w:right="138" w:hanging="284"/>
        <w:jc w:val="both"/>
        <w:rPr>
          <w:rFonts w:ascii="Times New Roman" w:eastAsia="ＭＳ 明朝" w:hAnsi="Times New Roman" w:cs="Arial"/>
          <w:kern w:val="0"/>
          <w:sz w:val="20"/>
          <w:szCs w:val="22"/>
        </w:rPr>
      </w:pPr>
      <w:r w:rsidRPr="00023B7E">
        <w:rPr>
          <w:rFonts w:ascii="Times New Roman" w:eastAsia="ＭＳ 明朝" w:hAnsi="Times New Roman" w:cs="Times New Roman"/>
          <w:sz w:val="20"/>
        </w:rPr>
        <w:t>3.  Mohamed A,</w:t>
      </w:r>
      <w:r w:rsidRPr="00023B7E">
        <w:rPr>
          <w:rFonts w:ascii="Times New Roman" w:eastAsia="ＭＳ 明朝" w:hAnsi="Times New Roman" w:cs="Times New Roman" w:hint="eastAsia"/>
          <w:sz w:val="20"/>
        </w:rPr>
        <w:t xml:space="preserve"> </w:t>
      </w:r>
      <w:r w:rsidRPr="00023B7E">
        <w:rPr>
          <w:rFonts w:ascii="Times New Roman" w:eastAsia="ＭＳ 明朝" w:hAnsi="Times New Roman" w:cs="Times New Roman"/>
          <w:sz w:val="20"/>
        </w:rPr>
        <w:t xml:space="preserve">Ishikawa K </w:t>
      </w:r>
      <w:proofErr w:type="gramStart"/>
      <w:r w:rsidRPr="00023B7E">
        <w:rPr>
          <w:rFonts w:ascii="Times New Roman" w:eastAsia="ＭＳ 明朝" w:hAnsi="Times New Roman" w:cs="Times New Roman"/>
          <w:sz w:val="20"/>
        </w:rPr>
        <w:t>et</w:t>
      </w:r>
      <w:proofErr w:type="gramEnd"/>
      <w:r w:rsidRPr="00023B7E">
        <w:rPr>
          <w:rFonts w:ascii="Times New Roman" w:eastAsia="ＭＳ 明朝" w:hAnsi="Times New Roman" w:cs="Times New Roman"/>
          <w:sz w:val="20"/>
        </w:rPr>
        <w:t xml:space="preserve"> </w:t>
      </w:r>
      <w:proofErr w:type="spellStart"/>
      <w:r w:rsidRPr="00023B7E">
        <w:rPr>
          <w:rFonts w:ascii="Times New Roman" w:eastAsia="ＭＳ 明朝" w:hAnsi="Times New Roman" w:cs="Times New Roman"/>
          <w:sz w:val="20"/>
        </w:rPr>
        <w:t>al</w:t>
      </w:r>
      <w:r w:rsidRPr="00023B7E">
        <w:rPr>
          <w:rFonts w:ascii="Times New Roman" w:eastAsia="ＭＳ 明朝" w:hAnsi="Times New Roman" w:cs="Times New Roman"/>
          <w:sz w:val="20"/>
        </w:rPr>
        <w:t>：</w:t>
      </w:r>
      <w:r w:rsidRPr="00023B7E">
        <w:rPr>
          <w:rFonts w:ascii="Times New Roman" w:eastAsia="ＭＳ 明朝" w:hAnsi="Times New Roman" w:cs="Times New Roman"/>
          <w:sz w:val="20"/>
        </w:rPr>
        <w:t>Outcome</w:t>
      </w:r>
      <w:proofErr w:type="spellEnd"/>
      <w:r w:rsidRPr="00023B7E">
        <w:rPr>
          <w:rFonts w:ascii="Times New Roman" w:eastAsia="ＭＳ 明朝" w:hAnsi="Times New Roman" w:cs="Times New Roman"/>
          <w:sz w:val="20"/>
        </w:rPr>
        <w:t xml:space="preserve"> of different facial nerve reconstruction techniques.</w:t>
      </w:r>
      <w:r w:rsidRPr="00023B7E">
        <w:rPr>
          <w:rFonts w:ascii="Times New Roman" w:eastAsia="ＭＳ 明朝" w:hAnsi="Times New Roman" w:cs="Times New Roman" w:hint="eastAsia"/>
          <w:sz w:val="20"/>
        </w:rPr>
        <w:t xml:space="preserve"> </w:t>
      </w:r>
      <w:proofErr w:type="spellStart"/>
      <w:r w:rsidRPr="00023B7E">
        <w:rPr>
          <w:rFonts w:ascii="Times New Roman" w:eastAsia="ＭＳ 明朝" w:hAnsi="Times New Roman" w:cs="Times New Roman"/>
          <w:sz w:val="20"/>
        </w:rPr>
        <w:t>Braz</w:t>
      </w:r>
      <w:proofErr w:type="spellEnd"/>
      <w:r w:rsidRPr="00023B7E">
        <w:rPr>
          <w:rFonts w:ascii="Times New Roman" w:eastAsia="ＭＳ 明朝" w:hAnsi="Times New Roman" w:cs="Times New Roman"/>
          <w:sz w:val="20"/>
        </w:rPr>
        <w:t xml:space="preserve"> J </w:t>
      </w:r>
      <w:proofErr w:type="spellStart"/>
      <w:proofErr w:type="gramStart"/>
      <w:r w:rsidRPr="00023B7E">
        <w:rPr>
          <w:rFonts w:ascii="Times New Roman" w:eastAsia="ＭＳ 明朝" w:hAnsi="Times New Roman" w:cs="Times New Roman"/>
          <w:sz w:val="20"/>
        </w:rPr>
        <w:t>Otorhinolaryngol</w:t>
      </w:r>
      <w:proofErr w:type="spellEnd"/>
      <w:r w:rsidRPr="00023B7E">
        <w:rPr>
          <w:rFonts w:ascii="Times New Roman" w:eastAsia="ＭＳ 明朝" w:hAnsi="Times New Roman" w:cs="Times New Roman"/>
          <w:sz w:val="20"/>
        </w:rPr>
        <w:t xml:space="preserve"> </w:t>
      </w:r>
      <w:r w:rsidRPr="00023B7E">
        <w:rPr>
          <w:rFonts w:ascii="Times New Roman" w:eastAsia="ＭＳ 明朝" w:hAnsi="Times New Roman" w:cs="Arial"/>
          <w:kern w:val="0"/>
          <w:sz w:val="20"/>
          <w:szCs w:val="22"/>
        </w:rPr>
        <w:t xml:space="preserve"> 16</w:t>
      </w:r>
      <w:proofErr w:type="gramEnd"/>
      <w:r w:rsidRPr="00023B7E">
        <w:rPr>
          <w:rFonts w:ascii="Times New Roman" w:eastAsia="ＭＳ 明朝" w:hAnsi="Times New Roman" w:cs="Arial"/>
          <w:kern w:val="0"/>
          <w:sz w:val="20"/>
          <w:szCs w:val="22"/>
        </w:rPr>
        <w:t>: 30013-1. 2016</w:t>
      </w:r>
    </w:p>
    <w:p w:rsidR="00023B7E" w:rsidRPr="00023B7E" w:rsidRDefault="00023B7E" w:rsidP="00023B7E">
      <w:pPr>
        <w:pStyle w:val="a3"/>
        <w:spacing w:before="85" w:line="216" w:lineRule="exact"/>
        <w:ind w:left="383" w:right="138" w:hanging="284"/>
        <w:jc w:val="both"/>
        <w:rPr>
          <w:rFonts w:ascii="Times New Roman" w:eastAsia="ＭＳ 明朝" w:hAnsi="Times New Roman" w:cs="Arial"/>
          <w:kern w:val="0"/>
          <w:sz w:val="20"/>
          <w:szCs w:val="22"/>
        </w:rPr>
      </w:pPr>
      <w:r w:rsidRPr="00023B7E">
        <w:rPr>
          <w:rFonts w:ascii="Times New Roman" w:eastAsia="ＭＳ 明朝" w:hAnsi="Times New Roman" w:cs="Arial"/>
          <w:kern w:val="0"/>
          <w:sz w:val="20"/>
          <w:szCs w:val="22"/>
        </w:rPr>
        <w:t>4.</w:t>
      </w:r>
      <w:r w:rsidRPr="00023B7E">
        <w:rPr>
          <w:rFonts w:ascii="Times New Roman" w:hAnsi="Times New Roman"/>
          <w:color w:val="000000"/>
          <w:sz w:val="20"/>
        </w:rPr>
        <w:t xml:space="preserve"> Wang Y, Ishikawa K et al: Giant cell tumor at the lateral skull base.    Am J </w:t>
      </w:r>
      <w:proofErr w:type="spellStart"/>
      <w:r w:rsidRPr="00023B7E">
        <w:rPr>
          <w:rFonts w:ascii="Times New Roman" w:hAnsi="Times New Roman"/>
          <w:color w:val="000000"/>
          <w:sz w:val="20"/>
        </w:rPr>
        <w:t>Otolaryngol</w:t>
      </w:r>
      <w:proofErr w:type="spellEnd"/>
      <w:r w:rsidRPr="00023B7E">
        <w:rPr>
          <w:rFonts w:ascii="Times New Roman" w:hAnsi="Times New Roman"/>
          <w:color w:val="000000"/>
          <w:sz w:val="20"/>
        </w:rPr>
        <w:t xml:space="preserve">    27:64-67, </w:t>
      </w:r>
      <w:proofErr w:type="gramStart"/>
      <w:r w:rsidRPr="00023B7E">
        <w:rPr>
          <w:rFonts w:ascii="Times New Roman" w:hAnsi="Times New Roman"/>
          <w:color w:val="000000"/>
          <w:sz w:val="20"/>
        </w:rPr>
        <w:t>2006</w:t>
      </w:r>
      <w:proofErr w:type="gramEnd"/>
    </w:p>
    <w:p w:rsidR="00AE3E37" w:rsidRPr="00023B7E" w:rsidRDefault="00023B7E" w:rsidP="00023B7E">
      <w:pPr>
        <w:pStyle w:val="a3"/>
        <w:spacing w:before="85" w:line="216" w:lineRule="exact"/>
        <w:ind w:left="383" w:right="138" w:hanging="284"/>
        <w:jc w:val="both"/>
        <w:rPr>
          <w:sz w:val="20"/>
        </w:rPr>
      </w:pPr>
      <w:r w:rsidRPr="00023B7E">
        <w:rPr>
          <w:sz w:val="20"/>
        </w:rPr>
        <w:t>5.</w:t>
      </w:r>
      <w:r w:rsidR="005973B9" w:rsidRPr="00023B7E">
        <w:rPr>
          <w:sz w:val="20"/>
        </w:rPr>
        <w:t xml:space="preserve"> </w:t>
      </w:r>
      <w:r w:rsidRPr="00023B7E">
        <w:rPr>
          <w:sz w:val="20"/>
          <w:szCs w:val="26"/>
        </w:rPr>
        <w:t xml:space="preserve">Mohamed A. Kazuo Ishikawa K. </w:t>
      </w:r>
      <w:r w:rsidRPr="00023B7E">
        <w:rPr>
          <w:sz w:val="20"/>
          <w:szCs w:val="17"/>
        </w:rPr>
        <w:t xml:space="preserve">et </w:t>
      </w:r>
      <w:proofErr w:type="spellStart"/>
      <w:r w:rsidRPr="00023B7E">
        <w:rPr>
          <w:sz w:val="20"/>
          <w:szCs w:val="17"/>
        </w:rPr>
        <w:t>al</w:t>
      </w:r>
      <w:proofErr w:type="gramStart"/>
      <w:r w:rsidRPr="00023B7E">
        <w:rPr>
          <w:sz w:val="20"/>
          <w:szCs w:val="17"/>
        </w:rPr>
        <w:t>:</w:t>
      </w:r>
      <w:r w:rsidRPr="00023B7E">
        <w:rPr>
          <w:sz w:val="20"/>
          <w:szCs w:val="34"/>
        </w:rPr>
        <w:t>Facial</w:t>
      </w:r>
      <w:proofErr w:type="spellEnd"/>
      <w:proofErr w:type="gramEnd"/>
      <w:r w:rsidRPr="00023B7E">
        <w:rPr>
          <w:sz w:val="20"/>
          <w:szCs w:val="34"/>
        </w:rPr>
        <w:t xml:space="preserve"> nerve </w:t>
      </w:r>
      <w:proofErr w:type="spellStart"/>
      <w:r w:rsidRPr="00023B7E">
        <w:rPr>
          <w:sz w:val="20"/>
          <w:szCs w:val="34"/>
        </w:rPr>
        <w:t>neuroma</w:t>
      </w:r>
      <w:proofErr w:type="spellEnd"/>
      <w:r w:rsidRPr="00023B7E">
        <w:rPr>
          <w:sz w:val="20"/>
          <w:szCs w:val="34"/>
        </w:rPr>
        <w:t xml:space="preserve"> in the </w:t>
      </w:r>
      <w:proofErr w:type="spellStart"/>
      <w:r w:rsidRPr="00023B7E">
        <w:rPr>
          <w:sz w:val="20"/>
          <w:szCs w:val="34"/>
        </w:rPr>
        <w:t>geniculate</w:t>
      </w:r>
      <w:proofErr w:type="spellEnd"/>
      <w:r w:rsidRPr="00023B7E">
        <w:rPr>
          <w:sz w:val="20"/>
          <w:szCs w:val="34"/>
        </w:rPr>
        <w:t xml:space="preserve"> ganglion</w:t>
      </w:r>
      <w:r w:rsidRPr="00023B7E">
        <w:rPr>
          <w:sz w:val="20"/>
          <w:szCs w:val="17"/>
        </w:rPr>
        <w:t xml:space="preserve"> </w:t>
      </w:r>
      <w:r w:rsidRPr="00023B7E">
        <w:rPr>
          <w:sz w:val="20"/>
          <w:szCs w:val="34"/>
        </w:rPr>
        <w:t>extending into the internal auditory canal: A case report. ANL in press</w:t>
      </w:r>
    </w:p>
    <w:p w:rsidR="00AE3E37" w:rsidRDefault="00F521F0">
      <w:pPr>
        <w:spacing w:line="200" w:lineRule="exact"/>
        <w:jc w:val="both"/>
        <w:rPr>
          <w:rFonts w:ascii="Calibri" w:hAnsi="Calibri"/>
        </w:rPr>
        <w:sectPr w:rsidR="00AE3E37">
          <w:type w:val="continuous"/>
          <w:pgSz w:w="11910" w:h="16840"/>
          <w:pgMar w:top="1740" w:right="600" w:bottom="840" w:left="620" w:gutter="0"/>
          <w:cols w:num="2" w:equalWidth="0">
            <w:col w:w="5214" w:space="138"/>
            <w:col w:w="5338"/>
          </w:cols>
        </w:sectPr>
      </w:pPr>
      <w:r w:rsidRPr="00023B7E">
        <w:rPr>
          <w:rFonts w:ascii="Calibri" w:hAnsi="Calibri"/>
          <w:sz w:val="20"/>
        </w:rPr>
        <w:t xml:space="preserve"> </w:t>
      </w:r>
    </w:p>
    <w:p w:rsidR="00AE3E37" w:rsidRPr="00F521F0" w:rsidRDefault="001026A0">
      <w:pPr>
        <w:pStyle w:val="a3"/>
        <w:rPr>
          <w:rFonts w:ascii="Calibri"/>
          <w:b/>
          <w:sz w:val="20"/>
        </w:rPr>
      </w:pPr>
      <w:r w:rsidRPr="00F521F0">
        <w:rPr>
          <w:rFonts w:ascii="Calibri"/>
          <w:b/>
          <w:sz w:val="20"/>
        </w:rPr>
        <w:t xml:space="preserve">  </w:t>
      </w:r>
      <w:proofErr w:type="gramStart"/>
      <w:r w:rsidRPr="00F521F0">
        <w:rPr>
          <w:rFonts w:ascii="Calibri"/>
          <w:b/>
          <w:sz w:val="20"/>
        </w:rPr>
        <w:t>red</w:t>
      </w:r>
      <w:proofErr w:type="gramEnd"/>
      <w:r w:rsidRPr="00F521F0">
        <w:rPr>
          <w:rFonts w:ascii="Calibri"/>
          <w:b/>
          <w:sz w:val="20"/>
        </w:rPr>
        <w:t xml:space="preserve"> arrow: facial nerve tumor at </w:t>
      </w:r>
      <w:proofErr w:type="spellStart"/>
      <w:r w:rsidRPr="00F521F0">
        <w:rPr>
          <w:rFonts w:ascii="Calibri"/>
          <w:b/>
          <w:sz w:val="20"/>
        </w:rPr>
        <w:t>geniculate</w:t>
      </w:r>
      <w:proofErr w:type="spellEnd"/>
      <w:r w:rsidRPr="00F521F0">
        <w:rPr>
          <w:rFonts w:ascii="Calibri"/>
          <w:b/>
          <w:sz w:val="20"/>
        </w:rPr>
        <w:t xml:space="preserve"> gang</w:t>
      </w:r>
      <w:r w:rsidR="00F521F0" w:rsidRPr="00F521F0">
        <w:rPr>
          <w:rFonts w:ascii="Calibri"/>
          <w:b/>
          <w:sz w:val="20"/>
        </w:rPr>
        <w:t>lion</w:t>
      </w:r>
    </w:p>
    <w:p w:rsidR="00AE3E37" w:rsidRDefault="00384988">
      <w:pPr>
        <w:pStyle w:val="a3"/>
        <w:spacing w:line="40" w:lineRule="exact"/>
        <w:ind w:left="2202"/>
        <w:rPr>
          <w:rFonts w:ascii="Calibri"/>
          <w:sz w:val="4"/>
        </w:rPr>
      </w:pPr>
      <w:r>
        <w:rPr>
          <w:rFonts w:ascii="Calibri"/>
          <w:noProof/>
          <w:sz w:val="4"/>
        </w:rPr>
      </w:r>
      <w:r w:rsidRPr="00384988">
        <w:rPr>
          <w:rFonts w:ascii="Calibri"/>
          <w:noProof/>
          <w:sz w:val="4"/>
        </w:rPr>
        <w:pict>
          <v:group id="Group 4" o:spid="_x0000_s1026" style="width:313.05pt;height:2pt;mso-position-horizontal-relative:char;mso-position-vertical-relative:line" coordsize="6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">
            <v:line id="Line 5" o:spid="_x0000_s1027" style="position:absolute;visibility:visible;mso-wrap-style:square" from="20,20" to="62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Fr8IAAADbAAAADwAAAGRycy9kb3ducmV2LnhtbERPTU8CMRC9k/gfmjHhBi0GiVkoBDVG&#10;jSdQDtwm22G7oZ2ubV3Wf29NTLzNy/uc1WbwTvQUUxtYw2yqQBDXwbTcaPh4f5rcgUgZ2aALTBq+&#10;KcFmfTVaYWXChXfU73MjSginCjXYnLtKylRb8pimoSMu3ClEj7nA2EgT8VLCvZM3Si2kx5ZLg8WO&#10;HizV5/2X16B2nwurHt3rub/P/fHZvc0PbdR6fD1slyAyDflf/Od+MWX+Lfz+Ug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HFr8IAAADbAAAADwAAAAAAAAAAAAAA&#10;AAChAgAAZHJzL2Rvd25yZXYueG1sUEsFBgAAAAAEAAQA+QAAAJADAAAAAA==&#10;" strokecolor="#004080" strokeweight="2pt"/>
            <w10:wrap type="none"/>
            <w10:anchorlock/>
          </v:group>
        </w:pict>
      </w:r>
    </w:p>
    <w:p w:rsidR="00AE3E37" w:rsidRDefault="00614876" w:rsidP="00404E5B">
      <w:pPr>
        <w:spacing w:before="92"/>
        <w:ind w:right="4234"/>
        <w:rPr>
          <w:rFonts w:ascii="Arial"/>
        </w:rPr>
      </w:pPr>
      <w:r>
        <w:rPr>
          <w:noProof/>
        </w:rPr>
        <w:t xml:space="preserve">   </w:t>
      </w:r>
      <w:r w:rsidR="008756E6">
        <w:rPr>
          <w:noProof/>
        </w:rPr>
        <w:t xml:space="preserve">     </w:t>
      </w:r>
      <w:r w:rsidRPr="00614876">
        <w:rPr>
          <w:noProof/>
          <w:lang w:eastAsia="ja-JP"/>
        </w:rPr>
        <w:drawing>
          <wp:inline distT="0" distB="0" distL="0" distR="0">
            <wp:extent cx="652714" cy="874198"/>
            <wp:effectExtent l="25400" t="0" r="7686"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55537" cy="877978"/>
                    </a:xfrm>
                    <a:prstGeom prst="rect">
                      <a:avLst/>
                    </a:prstGeom>
                    <a:noFill/>
                    <a:ln w="9525">
                      <a:noFill/>
                      <a:miter lim="800000"/>
                      <a:headEnd/>
                      <a:tailEnd/>
                    </a:ln>
                  </pic:spPr>
                </pic:pic>
              </a:graphicData>
            </a:graphic>
          </wp:inline>
        </w:drawing>
      </w:r>
      <w:r w:rsidR="00A9710C">
        <w:rPr>
          <w:rFonts w:ascii="Arial"/>
          <w:color w:val="BF5A14"/>
        </w:rPr>
        <w:t>Biography</w:t>
      </w:r>
      <w:r w:rsidR="00404E5B">
        <w:rPr>
          <w:rFonts w:ascii="Arial"/>
          <w:color w:val="BF5A14"/>
        </w:rPr>
        <w:t xml:space="preserve"> (150 word limit)</w:t>
      </w:r>
    </w:p>
    <w:p w:rsidR="0061126B" w:rsidRPr="00FF649E" w:rsidRDefault="00A9710C" w:rsidP="0061126B">
      <w:pPr>
        <w:spacing w:line="160" w:lineRule="atLeast"/>
        <w:rPr>
          <w:rFonts w:ascii="Times New Roman" w:hAnsi="Times New Roman"/>
          <w:sz w:val="20"/>
          <w:szCs w:val="17"/>
        </w:rPr>
      </w:pPr>
      <w:r>
        <w:rPr>
          <w:rFonts w:ascii="Arial"/>
          <w:sz w:val="14"/>
        </w:rPr>
        <w:t>D</w:t>
      </w:r>
      <w:r w:rsidR="0061126B" w:rsidRPr="0061126B">
        <w:rPr>
          <w:rFonts w:ascii="Times New Roman" w:hAnsi="Times New Roman"/>
          <w:sz w:val="20"/>
          <w:szCs w:val="17"/>
        </w:rPr>
        <w:t xml:space="preserve"> </w:t>
      </w:r>
      <w:r w:rsidR="0061126B" w:rsidRPr="00FF649E">
        <w:rPr>
          <w:rFonts w:ascii="Times New Roman" w:hAnsi="Times New Roman"/>
          <w:sz w:val="20"/>
          <w:szCs w:val="17"/>
        </w:rPr>
        <w:t xml:space="preserve">Kazuo Ishikawa is specialized in </w:t>
      </w:r>
      <w:proofErr w:type="spellStart"/>
      <w:r w:rsidR="0061126B" w:rsidRPr="00FF649E">
        <w:rPr>
          <w:rFonts w:ascii="Times New Roman" w:hAnsi="Times New Roman"/>
          <w:sz w:val="20"/>
          <w:szCs w:val="17"/>
        </w:rPr>
        <w:t>neurotology</w:t>
      </w:r>
      <w:proofErr w:type="spellEnd"/>
      <w:r w:rsidR="0061126B" w:rsidRPr="00FF649E">
        <w:rPr>
          <w:rFonts w:ascii="Times New Roman" w:hAnsi="Times New Roman"/>
          <w:sz w:val="20"/>
          <w:szCs w:val="17"/>
        </w:rPr>
        <w:t xml:space="preserve">, and has quite a few experiences of </w:t>
      </w:r>
      <w:proofErr w:type="spellStart"/>
      <w:r w:rsidR="0061126B" w:rsidRPr="00FF649E">
        <w:rPr>
          <w:rFonts w:ascii="Times New Roman" w:hAnsi="Times New Roman"/>
          <w:sz w:val="20"/>
          <w:szCs w:val="17"/>
        </w:rPr>
        <w:t>otological</w:t>
      </w:r>
      <w:proofErr w:type="spellEnd"/>
      <w:r w:rsidR="0061126B" w:rsidRPr="00FF649E">
        <w:rPr>
          <w:rFonts w:ascii="Times New Roman" w:hAnsi="Times New Roman"/>
          <w:sz w:val="20"/>
          <w:szCs w:val="17"/>
        </w:rPr>
        <w:t xml:space="preserve"> surgery along with acoustic </w:t>
      </w:r>
      <w:proofErr w:type="spellStart"/>
      <w:r w:rsidR="0061126B" w:rsidRPr="00FF649E">
        <w:rPr>
          <w:rFonts w:ascii="Times New Roman" w:hAnsi="Times New Roman"/>
          <w:sz w:val="20"/>
          <w:szCs w:val="17"/>
        </w:rPr>
        <w:t>neuroma</w:t>
      </w:r>
      <w:proofErr w:type="spellEnd"/>
      <w:r w:rsidR="0061126B" w:rsidRPr="00FF649E">
        <w:rPr>
          <w:rFonts w:ascii="Times New Roman" w:hAnsi="Times New Roman"/>
          <w:sz w:val="20"/>
          <w:szCs w:val="17"/>
        </w:rPr>
        <w:t xml:space="preserve"> surgery by MCF. He also contributed in diagnosis and treatment of facial nerve palsy. In 2016, he retired from Akita University, and then moved to Akita Red Cross Hospital where he is now working.</w:t>
      </w:r>
    </w:p>
    <w:p w:rsidR="00AE3E37" w:rsidRDefault="00A9710C" w:rsidP="0061126B">
      <w:pPr>
        <w:spacing w:before="41" w:line="154" w:lineRule="exact"/>
        <w:ind w:left="213" w:right="231"/>
        <w:jc w:val="both"/>
        <w:rPr>
          <w:rFonts w:ascii="Arial"/>
          <w:sz w:val="14"/>
        </w:rPr>
      </w:pPr>
      <w:r>
        <w:rPr>
          <w:rFonts w:ascii="Arial"/>
          <w:sz w:val="14"/>
        </w:rPr>
        <w:t xml:space="preserve">Email: </w:t>
      </w:r>
      <w:r w:rsidR="00614876">
        <w:rPr>
          <w:rFonts w:ascii="Arial"/>
          <w:sz w:val="14"/>
        </w:rPr>
        <w:t>ishioto@med.akita-u.ac.jp</w:t>
      </w:r>
    </w:p>
    <w:p w:rsidR="00AE3E37" w:rsidRDefault="00384988">
      <w:pPr>
        <w:pStyle w:val="a3"/>
        <w:spacing w:before="2"/>
        <w:rPr>
          <w:rFonts w:ascii="Arial"/>
          <w:sz w:val="19"/>
        </w:rPr>
      </w:pPr>
      <w:r w:rsidRPr="00384988">
        <w:rPr>
          <w:noProof/>
        </w:rPr>
        <w:pict>
          <v:line id="Line 3" o:spid="_x0000_s1028"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1pt,13.25pt" to="433.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" strokecolor="#004080" strokeweight=".5pt">
            <w10:wrap type="topAndBottom" anchorx="page"/>
          </v:line>
        </w:pict>
      </w:r>
    </w:p>
    <w:p w:rsidR="00AE3E37" w:rsidRDefault="00AE3E37">
      <w:pPr>
        <w:pStyle w:val="a3"/>
        <w:rPr>
          <w:rFonts w:ascii="Arial"/>
          <w:sz w:val="20"/>
        </w:rPr>
      </w:pPr>
    </w:p>
    <w:p w:rsidR="00AE3E37" w:rsidRDefault="00AE3E37">
      <w:pPr>
        <w:pStyle w:val="a3"/>
        <w:rPr>
          <w:rFonts w:ascii="Arial"/>
          <w:sz w:val="20"/>
        </w:rPr>
      </w:pPr>
    </w:p>
    <w:p w:rsidR="00AE3E37" w:rsidRDefault="00AE3E37">
      <w:pPr>
        <w:pStyle w:val="a3"/>
        <w:spacing w:before="7"/>
        <w:rPr>
          <w:rFonts w:ascii="Arial"/>
          <w:sz w:val="29"/>
        </w:rPr>
      </w:pPr>
    </w:p>
    <w:p w:rsidR="00AE3E37" w:rsidRPr="00B21A57" w:rsidRDefault="00A9710C">
      <w:pPr>
        <w:spacing w:before="39"/>
        <w:ind w:left="100"/>
        <w:rPr>
          <w:rFonts w:ascii="Minion Pro"/>
          <w:b/>
          <w:sz w:val="20"/>
        </w:rPr>
      </w:pPr>
      <w:r w:rsidRPr="00B21A57">
        <w:rPr>
          <w:rFonts w:ascii="Minion Pro"/>
          <w:b/>
          <w:sz w:val="20"/>
        </w:rPr>
        <w:t>Notes/Comments:</w:t>
      </w:r>
    </w:p>
    <w:p w:rsidR="00AE3E37" w:rsidRDefault="00AE3E37">
      <w:pPr>
        <w:rPr>
          <w:rFonts w:ascii="Minion Pro"/>
          <w:sz w:val="24"/>
        </w:rPr>
        <w:sectPr w:rsidR="00AE3E37">
          <w:type w:val="continuous"/>
          <w:pgSz w:w="11910" w:h="16840"/>
          <w:pgMar w:top="1740" w:right="600" w:bottom="840" w:left="620" w:gutter="0"/>
        </w:sectPr>
      </w:pPr>
    </w:p>
    <w:p w:rsidR="00AE3E37" w:rsidRDefault="00AE3E37">
      <w:pPr>
        <w:pStyle w:val="a3"/>
        <w:spacing w:before="3"/>
        <w:rPr>
          <w:rFonts w:ascii="Minion Pro"/>
          <w:sz w:val="26"/>
        </w:rPr>
      </w:pPr>
    </w:p>
    <w:sectPr w:rsidR="00AE3E37" w:rsidSect="00CD6F55">
      <w:type w:val="continuous"/>
      <w:pgSz w:w="11910" w:h="16840"/>
      <w:pgMar w:top="1740" w:right="580" w:bottom="840" w:left="620" w:gutter="0"/>
      <w:cols w:num="2" w:equalWidth="0">
        <w:col w:w="5214" w:space="138"/>
        <w:col w:w="5358"/>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876" w:rsidRDefault="00614876">
      <w:r>
        <w:separator/>
      </w:r>
    </w:p>
  </w:endnote>
  <w:endnote w:type="continuationSeparator" w:id="0">
    <w:p w:rsidR="00614876" w:rsidRDefault="0061487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w Cen MT">
    <w:panose1 w:val="020B0602020104020603"/>
    <w:charset w:val="00"/>
    <w:family w:val="auto"/>
    <w:pitch w:val="variable"/>
    <w:sig w:usb0="00000003" w:usb1="00000000" w:usb2="00000000" w:usb3="00000000" w:csb0="00000001" w:csb1="00000000"/>
  </w:font>
  <w:font w:name="Minion Pro">
    <w:panose1 w:val="02040503050201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Ｐゴシック">
    <w:panose1 w:val="020B0600070205080204"/>
    <w:charset w:val="4E"/>
    <w:family w:val="auto"/>
    <w:pitch w:val="variable"/>
    <w:sig w:usb0="00000001" w:usb1="00000000" w:usb2="01000407" w:usb3="00000000" w:csb0="00020000" w:csb1="00000000"/>
  </w:font>
  <w:font w:name="ＭＳ ゴシック">
    <w:panose1 w:val="020B0609070205080204"/>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876" w:rsidRDefault="00384988">
    <w:pPr>
      <w:pStyle w:val="a3"/>
      <w:spacing w:line="14" w:lineRule="auto"/>
      <w:rPr>
        <w:sz w:val="20"/>
      </w:rPr>
    </w:pPr>
    <w:r w:rsidRPr="00384988">
      <w:rPr>
        <w:noProof/>
      </w:rPr>
      <w:pict>
        <v:shapetype id="_x0000_t202" coordsize="21600,21600" o:spt="202" path="m0,0l0,21600,21600,21600,21600,0xe">
          <v:stroke joinstyle="miter"/>
          <v:path gradientshapeok="t" o:connecttype="rect"/>
        </v:shapetype>
        <v:shape id="Text Box 3" o:spid="_x0000_s4098" type="#_x0000_t202" style="position:absolute;margin-left:35pt;margin-top:798.8pt;width:168.2pt;height:19.6pt;z-index:-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JQsQIAALA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" filled="f" stroked="f">
          <v:textbox inset="0,0,0,0">
            <w:txbxContent>
              <w:p w:rsidR="00614876" w:rsidRPr="005B3A56" w:rsidRDefault="00614876">
                <w:pPr>
                  <w:spacing w:line="184" w:lineRule="exact"/>
                  <w:ind w:left="20" w:right="-12"/>
                  <w:rPr>
                    <w:rFonts w:ascii="Arial"/>
                    <w:color w:val="FFFFFF" w:themeColor="background1"/>
                    <w:sz w:val="16"/>
                  </w:rPr>
                </w:pPr>
                <w:r w:rsidRPr="005B3A56">
                  <w:rPr>
                    <w:rFonts w:ascii="Arial"/>
                    <w:color w:val="FFFFFF" w:themeColor="background1"/>
                    <w:sz w:val="16"/>
                  </w:rPr>
                  <w:t>J Pain Relief</w:t>
                </w:r>
              </w:p>
              <w:p w:rsidR="00614876" w:rsidRPr="005B3A56" w:rsidRDefault="00614876">
                <w:pPr>
                  <w:spacing w:before="8"/>
                  <w:ind w:left="20" w:right="-12"/>
                  <w:rPr>
                    <w:rFonts w:ascii="Arial"/>
                    <w:color w:val="FFFFFF" w:themeColor="background1"/>
                    <w:sz w:val="16"/>
                  </w:rPr>
                </w:pPr>
                <w:r w:rsidRPr="005B3A56">
                  <w:rPr>
                    <w:rFonts w:ascii="Arial"/>
                    <w:color w:val="FFFFFF" w:themeColor="background1"/>
                    <w:sz w:val="16"/>
                  </w:rPr>
                  <w:t xml:space="preserve">ISSN: 2167-0846 JPAR an open access </w:t>
                </w:r>
                <w:proofErr w:type="spellStart"/>
                <w:r w:rsidRPr="005B3A56">
                  <w:rPr>
                    <w:rFonts w:ascii="Arial"/>
                    <w:color w:val="FFFFFF" w:themeColor="background1"/>
                    <w:sz w:val="16"/>
                  </w:rPr>
                  <w:t>journa</w:t>
                </w:r>
                <w:proofErr w:type="spellEnd"/>
              </w:p>
            </w:txbxContent>
          </v:textbox>
          <w10:wrap anchorx="page" anchory="page"/>
        </v:shape>
      </w:pict>
    </w:r>
    <w:r w:rsidRPr="00384988">
      <w:rPr>
        <w:noProof/>
      </w:rPr>
      <w:pict>
        <v:shape id="Text Box 2" o:spid="_x0000_s4097" type="#_x0000_t202" style="position:absolute;margin-left:252.1pt;margin-top:799.05pt;width:91.9pt;height:24.95pt;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zDrw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" filled="f" stroked="f">
          <v:textbox inset="0,0,0,0">
            <w:txbxContent>
              <w:p w:rsidR="00614876" w:rsidRPr="005B3A56" w:rsidRDefault="00614876">
                <w:pPr>
                  <w:spacing w:line="269" w:lineRule="exact"/>
                  <w:jc w:val="center"/>
                  <w:rPr>
                    <w:rFonts w:ascii="Impact"/>
                    <w:color w:val="FFFFFF" w:themeColor="background1"/>
                    <w:sz w:val="24"/>
                  </w:rPr>
                </w:pPr>
                <w:r w:rsidRPr="005B3A56">
                  <w:rPr>
                    <w:rFonts w:ascii="Impact"/>
                    <w:color w:val="FFFFFF" w:themeColor="background1"/>
                    <w:sz w:val="24"/>
                  </w:rPr>
                  <w:t>Fibromyalgia 2016</w:t>
                </w:r>
              </w:p>
              <w:p w:rsidR="00614876" w:rsidRPr="005B3A56" w:rsidRDefault="00614876">
                <w:pPr>
                  <w:spacing w:before="29"/>
                  <w:jc w:val="center"/>
                  <w:rPr>
                    <w:rFonts w:ascii="Arial"/>
                    <w:color w:val="FFFFFF" w:themeColor="background1"/>
                    <w:sz w:val="16"/>
                  </w:rPr>
                </w:pPr>
                <w:r w:rsidRPr="005B3A56">
                  <w:rPr>
                    <w:rFonts w:ascii="Arial"/>
                    <w:color w:val="FFFFFF" w:themeColor="background1"/>
                    <w:sz w:val="16"/>
                  </w:rPr>
                  <w:t>June 15-16, 2016</w:t>
                </w:r>
              </w:p>
            </w:txbxContent>
          </v:textbox>
          <w10:wrap anchorx="page" anchory="page"/>
        </v:shape>
      </w:pict>
    </w:r>
    <w:r w:rsidRPr="00384988">
      <w:rPr>
        <w:noProof/>
      </w:rPr>
      <w:pict>
        <v:shape id="Text Box 1" o:spid="_x0000_s4096" type="#_x0000_t202" style="position:absolute;margin-left:468.9pt;margin-top:798.8pt;width:91.4pt;height:26.05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" filled="f" stroked="f">
          <v:textbox inset="0,0,0,0">
            <w:txbxContent>
              <w:p w:rsidR="00614876" w:rsidRPr="005B3A56" w:rsidRDefault="00614876">
                <w:pPr>
                  <w:spacing w:line="184" w:lineRule="exact"/>
                  <w:ind w:right="18"/>
                  <w:jc w:val="right"/>
                  <w:rPr>
                    <w:rFonts w:ascii="Arial"/>
                    <w:color w:val="FFFFFF" w:themeColor="background1"/>
                    <w:sz w:val="16"/>
                  </w:rPr>
                </w:pPr>
                <w:r w:rsidRPr="005B3A56">
                  <w:rPr>
                    <w:rFonts w:ascii="Arial"/>
                    <w:color w:val="FFFFFF" w:themeColor="background1"/>
                    <w:sz w:val="16"/>
                  </w:rPr>
                  <w:t>Volume 5, Issue 3(</w:t>
                </w:r>
                <w:proofErr w:type="spellStart"/>
                <w:r w:rsidRPr="005B3A56">
                  <w:rPr>
                    <w:rFonts w:ascii="Arial"/>
                    <w:color w:val="FFFFFF" w:themeColor="background1"/>
                    <w:sz w:val="16"/>
                  </w:rPr>
                  <w:t>Suppl</w:t>
                </w:r>
                <w:proofErr w:type="spellEnd"/>
                <w:r w:rsidRPr="005B3A56">
                  <w:rPr>
                    <w:rFonts w:ascii="Arial"/>
                    <w:color w:val="FFFFFF" w:themeColor="background1"/>
                    <w:sz w:val="16"/>
                  </w:rPr>
                  <w:t>)</w:t>
                </w:r>
              </w:p>
              <w:p w:rsidR="00614876" w:rsidRPr="005B3A56" w:rsidRDefault="00614876">
                <w:pPr>
                  <w:spacing w:before="116"/>
                  <w:ind w:right="18"/>
                  <w:jc w:val="right"/>
                  <w:rPr>
                    <w:rFonts w:ascii="Minion Pro"/>
                    <w:color w:val="FFFFFF" w:themeColor="background1"/>
                    <w:sz w:val="16"/>
                  </w:rPr>
                </w:pPr>
                <w:r w:rsidRPr="005B3A56">
                  <w:rPr>
                    <w:rFonts w:ascii="Minion Pro"/>
                    <w:color w:val="FFFFFF" w:themeColor="background1"/>
                    <w:sz w:val="16"/>
                  </w:rPr>
                  <w:t>Page 40</w:t>
                </w:r>
              </w:p>
            </w:txbxContent>
          </v:textbox>
          <w10:wrap anchorx="page" anchory="page"/>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876" w:rsidRDefault="00614876">
      <w:r>
        <w:separator/>
      </w:r>
    </w:p>
  </w:footnote>
  <w:footnote w:type="continuationSeparator" w:id="0">
    <w:p w:rsidR="00614876" w:rsidRDefault="0061487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876" w:rsidRDefault="00384988">
    <w:pPr>
      <w:pStyle w:val="a3"/>
      <w:spacing w:line="14" w:lineRule="auto"/>
      <w:rPr>
        <w:sz w:val="20"/>
      </w:rPr>
    </w:pPr>
    <w:r w:rsidRPr="00384988">
      <w:rPr>
        <w:noProof/>
      </w:rPr>
      <w:pict>
        <v:shapetype id="_x0000_t202" coordsize="21600,21600" o:spt="202" path="m0,0l0,21600,21600,21600,21600,0xe">
          <v:stroke joinstyle="miter"/>
          <v:path gradientshapeok="t" o:connecttype="rect"/>
        </v:shapetype>
        <v:shape id="Text Box 5" o:spid="_x0000_s4100" type="#_x0000_t202" style="position:absolute;margin-left:416pt;margin-top:26.05pt;width:144.3pt;height:17.4pt;z-index:-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" filled="f" stroked="f">
          <v:textbox inset="0,0,0,0">
            <w:txbxContent>
              <w:p w:rsidR="00614876" w:rsidRPr="005B3A56" w:rsidRDefault="00614876">
                <w:pPr>
                  <w:spacing w:before="2" w:line="249" w:lineRule="auto"/>
                  <w:ind w:left="156" w:right="18" w:hanging="137"/>
                  <w:rPr>
                    <w:rFonts w:ascii="Arial"/>
                    <w:color w:val="FFFFFF" w:themeColor="background1"/>
                    <w:sz w:val="14"/>
                  </w:rPr>
                </w:pPr>
                <w:r w:rsidRPr="005B3A56">
                  <w:rPr>
                    <w:rFonts w:ascii="Arial"/>
                    <w:color w:val="FFFFFF" w:themeColor="background1"/>
                    <w:sz w:val="14"/>
                  </w:rPr>
                  <w:t xml:space="preserve">T </w:t>
                </w:r>
                <w:proofErr w:type="spellStart"/>
                <w:r w:rsidRPr="005B3A56">
                  <w:rPr>
                    <w:rFonts w:ascii="Arial"/>
                    <w:color w:val="FFFFFF" w:themeColor="background1"/>
                    <w:sz w:val="14"/>
                  </w:rPr>
                  <w:t>Furuta</w:t>
                </w:r>
                <w:proofErr w:type="spellEnd"/>
                <w:r w:rsidRPr="005B3A56">
                  <w:rPr>
                    <w:rFonts w:ascii="Arial"/>
                    <w:color w:val="FFFFFF" w:themeColor="background1"/>
                    <w:sz w:val="14"/>
                  </w:rPr>
                  <w:t xml:space="preserve"> et al., J </w:t>
                </w:r>
                <w:proofErr w:type="spellStart"/>
                <w:r w:rsidRPr="005B3A56">
                  <w:rPr>
                    <w:rFonts w:ascii="Arial"/>
                    <w:color w:val="FFFFFF" w:themeColor="background1"/>
                    <w:sz w:val="14"/>
                  </w:rPr>
                  <w:t>Pai</w:t>
                </w:r>
                <w:proofErr w:type="spellEnd"/>
                <w:r w:rsidRPr="005B3A56">
                  <w:rPr>
                    <w:rFonts w:ascii="Arial"/>
                    <w:color w:val="FFFFFF" w:themeColor="background1"/>
                    <w:sz w:val="14"/>
                  </w:rPr>
                  <w:t xml:space="preserve"> n Relief 2016, 5:3(</w:t>
                </w:r>
                <w:proofErr w:type="spellStart"/>
                <w:r w:rsidRPr="005B3A56">
                  <w:rPr>
                    <w:rFonts w:ascii="Arial"/>
                    <w:color w:val="FFFFFF" w:themeColor="background1"/>
                    <w:sz w:val="14"/>
                  </w:rPr>
                  <w:t>Suppl</w:t>
                </w:r>
                <w:proofErr w:type="spellEnd"/>
                <w:r w:rsidRPr="005B3A56">
                  <w:rPr>
                    <w:rFonts w:ascii="Arial"/>
                    <w:color w:val="FFFFFF" w:themeColor="background1"/>
                    <w:sz w:val="14"/>
                  </w:rPr>
                  <w:t xml:space="preserve">) </w:t>
                </w:r>
                <w:hyperlink r:id="rId1">
                  <w:r w:rsidRPr="005B3A56">
                    <w:rPr>
                      <w:rFonts w:ascii="Arial"/>
                      <w:color w:val="FFFFFF" w:themeColor="background1"/>
                      <w:sz w:val="14"/>
                    </w:rPr>
                    <w:t>http://dx.doi.org/10.4172/2167-0846.C1.006</w:t>
                  </w:r>
                </w:hyperlink>
              </w:p>
            </w:txbxContent>
          </v:textbox>
          <w10:wrap anchorx="page" anchory="page"/>
        </v:shape>
      </w:pict>
    </w:r>
    <w:r w:rsidRPr="00384988">
      <w:rPr>
        <w:noProof/>
      </w:rPr>
      <w:pict>
        <v:shape id="Text Box 4" o:spid="_x0000_s4099" type="#_x0000_t202" style="position:absolute;margin-left:35pt;margin-top:48.3pt;width:515.95pt;height:40.1pt;z-index:-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QpsgIAALE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" filled="f" stroked="f">
          <v:textbox inset="0,0,0,0">
            <w:txbxContent>
              <w:p w:rsidR="00614876" w:rsidRPr="005B3A56" w:rsidRDefault="00614876">
                <w:pPr>
                  <w:pStyle w:val="a3"/>
                  <w:spacing w:line="187" w:lineRule="exact"/>
                  <w:ind w:left="20" w:right="-10"/>
                  <w:rPr>
                    <w:rFonts w:ascii="Myriad Pro"/>
                    <w:color w:val="FFFFFF" w:themeColor="background1"/>
                  </w:rPr>
                </w:pPr>
                <w:r w:rsidRPr="005B3A56">
                  <w:rPr>
                    <w:rFonts w:ascii="Myriad Pro"/>
                    <w:color w:val="FFFFFF" w:themeColor="background1"/>
                  </w:rPr>
                  <w:t>International Conference on</w:t>
                </w:r>
              </w:p>
              <w:p w:rsidR="00614876" w:rsidRPr="005B3A56" w:rsidRDefault="00614876">
                <w:pPr>
                  <w:spacing w:line="614" w:lineRule="exact"/>
                  <w:ind w:left="20" w:right="-10"/>
                  <w:rPr>
                    <w:rFonts w:ascii="Minion Pro"/>
                    <w:color w:val="FFFFFF" w:themeColor="background1"/>
                    <w:sz w:val="24"/>
                  </w:rPr>
                </w:pPr>
                <w:r w:rsidRPr="005B3A56">
                  <w:rPr>
                    <w:rFonts w:ascii="Impact"/>
                    <w:color w:val="FFFFFF" w:themeColor="background1"/>
                    <w:sz w:val="52"/>
                  </w:rPr>
                  <w:t xml:space="preserve">Fibromyalgia and Chronic Pain </w:t>
                </w:r>
                <w:r w:rsidRPr="005B3A56">
                  <w:rPr>
                    <w:rFonts w:ascii="Minion Pro"/>
                    <w:color w:val="FFFFFF" w:themeColor="background1"/>
                    <w:sz w:val="24"/>
                  </w:rPr>
                  <w:t>(June 15-16, 2016   Philadelphia, USA)</w:t>
                </w:r>
              </w:p>
            </w:txbxContent>
          </v:textbox>
          <w10:wrap anchorx="page" anchory="page"/>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80552"/>
    <w:multiLevelType w:val="hybridMultilevel"/>
    <w:tmpl w:val="7EDE6B1A"/>
    <w:lvl w:ilvl="0" w:tplc="3CF4AF62">
      <w:start w:val="1"/>
      <w:numFmt w:val="decimal"/>
      <w:lvlText w:val="%1."/>
      <w:lvlJc w:val="left"/>
      <w:pPr>
        <w:ind w:left="383" w:hanging="284"/>
      </w:pPr>
      <w:rPr>
        <w:rFonts w:ascii="Calibri" w:eastAsia="Calibri" w:hAnsi="Calibri" w:cs="Tahoma" w:hint="default"/>
        <w:spacing w:val="-16"/>
        <w:w w:val="100"/>
        <w:sz w:val="18"/>
        <w:szCs w:val="18"/>
      </w:rPr>
    </w:lvl>
    <w:lvl w:ilvl="1" w:tplc="C60E89D2">
      <w:start w:val="1"/>
      <w:numFmt w:val="bullet"/>
      <w:lvlText w:val="•"/>
      <w:lvlJc w:val="left"/>
      <w:pPr>
        <w:ind w:left="877" w:hanging="284"/>
      </w:pPr>
      <w:rPr>
        <w:rFonts w:hint="default"/>
      </w:rPr>
    </w:lvl>
    <w:lvl w:ilvl="2" w:tplc="9E4C3810">
      <w:start w:val="1"/>
      <w:numFmt w:val="bullet"/>
      <w:lvlText w:val="•"/>
      <w:lvlJc w:val="left"/>
      <w:pPr>
        <w:ind w:left="1374" w:hanging="284"/>
      </w:pPr>
      <w:rPr>
        <w:rFonts w:hint="default"/>
      </w:rPr>
    </w:lvl>
    <w:lvl w:ilvl="3" w:tplc="27FEBB2C">
      <w:start w:val="1"/>
      <w:numFmt w:val="bullet"/>
      <w:lvlText w:val="•"/>
      <w:lvlJc w:val="left"/>
      <w:pPr>
        <w:ind w:left="1871" w:hanging="284"/>
      </w:pPr>
      <w:rPr>
        <w:rFonts w:hint="default"/>
      </w:rPr>
    </w:lvl>
    <w:lvl w:ilvl="4" w:tplc="40E042A8">
      <w:start w:val="1"/>
      <w:numFmt w:val="bullet"/>
      <w:lvlText w:val="•"/>
      <w:lvlJc w:val="left"/>
      <w:pPr>
        <w:ind w:left="2369" w:hanging="284"/>
      </w:pPr>
      <w:rPr>
        <w:rFonts w:hint="default"/>
      </w:rPr>
    </w:lvl>
    <w:lvl w:ilvl="5" w:tplc="80EC61F2">
      <w:start w:val="1"/>
      <w:numFmt w:val="bullet"/>
      <w:lvlText w:val="•"/>
      <w:lvlJc w:val="left"/>
      <w:pPr>
        <w:ind w:left="2866" w:hanging="284"/>
      </w:pPr>
      <w:rPr>
        <w:rFonts w:hint="default"/>
      </w:rPr>
    </w:lvl>
    <w:lvl w:ilvl="6" w:tplc="F60232E2">
      <w:start w:val="1"/>
      <w:numFmt w:val="bullet"/>
      <w:lvlText w:val="•"/>
      <w:lvlJc w:val="left"/>
      <w:pPr>
        <w:ind w:left="3363" w:hanging="284"/>
      </w:pPr>
      <w:rPr>
        <w:rFonts w:hint="default"/>
      </w:rPr>
    </w:lvl>
    <w:lvl w:ilvl="7" w:tplc="69AE9EC2">
      <w:start w:val="1"/>
      <w:numFmt w:val="bullet"/>
      <w:lvlText w:val="•"/>
      <w:lvlJc w:val="left"/>
      <w:pPr>
        <w:ind w:left="3860" w:hanging="284"/>
      </w:pPr>
      <w:rPr>
        <w:rFonts w:hint="default"/>
      </w:rPr>
    </w:lvl>
    <w:lvl w:ilvl="8" w:tplc="16D69236">
      <w:start w:val="1"/>
      <w:numFmt w:val="bullet"/>
      <w:lvlText w:val="•"/>
      <w:lvlJc w:val="left"/>
      <w:pPr>
        <w:ind w:left="4358" w:hanging="284"/>
      </w:pPr>
      <w:rPr>
        <w:rFonts w:hint="default"/>
      </w:rPr>
    </w:lvl>
  </w:abstractNum>
  <w:abstractNum w:abstractNumId="1">
    <w:nsid w:val="5B5223B8"/>
    <w:multiLevelType w:val="hybridMultilevel"/>
    <w:tmpl w:val="1F60F210"/>
    <w:lvl w:ilvl="0" w:tplc="D952B2B2">
      <w:start w:val="1"/>
      <w:numFmt w:val="decimal"/>
      <w:lvlText w:val="%1."/>
      <w:lvlJc w:val="left"/>
      <w:pPr>
        <w:ind w:left="383" w:hanging="284"/>
      </w:pPr>
      <w:rPr>
        <w:rFonts w:ascii="Calibri" w:eastAsia="Calibri" w:hAnsi="Calibri" w:cs="Tahoma" w:hint="default"/>
        <w:spacing w:val="-16"/>
        <w:w w:val="100"/>
        <w:sz w:val="18"/>
        <w:szCs w:val="18"/>
      </w:rPr>
    </w:lvl>
    <w:lvl w:ilvl="1" w:tplc="C85C2D86">
      <w:start w:val="1"/>
      <w:numFmt w:val="bullet"/>
      <w:lvlText w:val="•"/>
      <w:lvlJc w:val="left"/>
      <w:pPr>
        <w:ind w:left="875" w:hanging="284"/>
      </w:pPr>
      <w:rPr>
        <w:rFonts w:hint="default"/>
      </w:rPr>
    </w:lvl>
    <w:lvl w:ilvl="2" w:tplc="D9F2D516">
      <w:start w:val="1"/>
      <w:numFmt w:val="bullet"/>
      <w:lvlText w:val="•"/>
      <w:lvlJc w:val="left"/>
      <w:pPr>
        <w:ind w:left="1370" w:hanging="284"/>
      </w:pPr>
      <w:rPr>
        <w:rFonts w:hint="default"/>
      </w:rPr>
    </w:lvl>
    <w:lvl w:ilvl="3" w:tplc="317238B6">
      <w:start w:val="1"/>
      <w:numFmt w:val="bullet"/>
      <w:lvlText w:val="•"/>
      <w:lvlJc w:val="left"/>
      <w:pPr>
        <w:ind w:left="1865" w:hanging="284"/>
      </w:pPr>
      <w:rPr>
        <w:rFonts w:hint="default"/>
      </w:rPr>
    </w:lvl>
    <w:lvl w:ilvl="4" w:tplc="F17CB840">
      <w:start w:val="1"/>
      <w:numFmt w:val="bullet"/>
      <w:lvlText w:val="•"/>
      <w:lvlJc w:val="left"/>
      <w:pPr>
        <w:ind w:left="2361" w:hanging="284"/>
      </w:pPr>
      <w:rPr>
        <w:rFonts w:hint="default"/>
      </w:rPr>
    </w:lvl>
    <w:lvl w:ilvl="5" w:tplc="FB766700">
      <w:start w:val="1"/>
      <w:numFmt w:val="bullet"/>
      <w:lvlText w:val="•"/>
      <w:lvlJc w:val="left"/>
      <w:pPr>
        <w:ind w:left="2856" w:hanging="284"/>
      </w:pPr>
      <w:rPr>
        <w:rFonts w:hint="default"/>
      </w:rPr>
    </w:lvl>
    <w:lvl w:ilvl="6" w:tplc="E05CA76A">
      <w:start w:val="1"/>
      <w:numFmt w:val="bullet"/>
      <w:lvlText w:val="•"/>
      <w:lvlJc w:val="left"/>
      <w:pPr>
        <w:ind w:left="3351" w:hanging="284"/>
      </w:pPr>
      <w:rPr>
        <w:rFonts w:hint="default"/>
      </w:rPr>
    </w:lvl>
    <w:lvl w:ilvl="7" w:tplc="18E2DC68">
      <w:start w:val="1"/>
      <w:numFmt w:val="bullet"/>
      <w:lvlText w:val="•"/>
      <w:lvlJc w:val="left"/>
      <w:pPr>
        <w:ind w:left="3846" w:hanging="284"/>
      </w:pPr>
      <w:rPr>
        <w:rFonts w:hint="default"/>
      </w:rPr>
    </w:lvl>
    <w:lvl w:ilvl="8" w:tplc="05528CD8">
      <w:start w:val="1"/>
      <w:numFmt w:val="bullet"/>
      <w:lvlText w:val="•"/>
      <w:lvlJc w:val="left"/>
      <w:pPr>
        <w:ind w:left="4342" w:hanging="284"/>
      </w:pPr>
      <w:rPr>
        <w:rFonts w:hint="default"/>
      </w:rPr>
    </w:lvl>
  </w:abstractNum>
  <w:num w:numId="1">
    <w:abstractNumId w:val="0"/>
  </w:num>
  <w:num w:numId="2">
    <w:abstractNumId w:val="1"/>
  </w:num>
  <w:num w:numId="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clean"/>
  <w:doNotTrackMoves/>
  <w:defaultTabStop w:val="720"/>
  <w:drawingGridHorizontalSpacing w:val="110"/>
  <w:displayHorizontalDrawingGridEvery w:val="2"/>
  <w:characterSpacingControl w:val="doNotCompress"/>
  <w:hdrShapeDefaults>
    <o:shapedefaults v:ext="edit" spidmax="4105"/>
    <o:shapelayout v:ext="edit">
      <o:idmap v:ext="edit" data="4"/>
    </o:shapelayout>
  </w:hdrShapeDefaults>
  <w:footnotePr>
    <w:footnote w:id="-1"/>
    <w:footnote w:id="0"/>
  </w:footnotePr>
  <w:endnotePr>
    <w:endnote w:id="-1"/>
    <w:endnote w:id="0"/>
  </w:endnotePr>
  <w:compat>
    <w:ulTrailSpace/>
    <w:useFELayout/>
  </w:compat>
  <w:rsids>
    <w:rsidRoot w:val="00AE3E37"/>
    <w:rsid w:val="00023B7E"/>
    <w:rsid w:val="000E2911"/>
    <w:rsid w:val="001026A0"/>
    <w:rsid w:val="001263DF"/>
    <w:rsid w:val="002610E6"/>
    <w:rsid w:val="00292ED9"/>
    <w:rsid w:val="00384988"/>
    <w:rsid w:val="00404E5B"/>
    <w:rsid w:val="00414F7B"/>
    <w:rsid w:val="004355DC"/>
    <w:rsid w:val="004749B4"/>
    <w:rsid w:val="00494130"/>
    <w:rsid w:val="004F3523"/>
    <w:rsid w:val="005973B9"/>
    <w:rsid w:val="005B3A56"/>
    <w:rsid w:val="006060CE"/>
    <w:rsid w:val="0061126B"/>
    <w:rsid w:val="00614876"/>
    <w:rsid w:val="0063497F"/>
    <w:rsid w:val="007D272C"/>
    <w:rsid w:val="00873DF0"/>
    <w:rsid w:val="008756E6"/>
    <w:rsid w:val="009B2D44"/>
    <w:rsid w:val="00A07E82"/>
    <w:rsid w:val="00A9710C"/>
    <w:rsid w:val="00AB3476"/>
    <w:rsid w:val="00AE3E37"/>
    <w:rsid w:val="00B21A57"/>
    <w:rsid w:val="00C33602"/>
    <w:rsid w:val="00CD6F55"/>
    <w:rsid w:val="00D25069"/>
    <w:rsid w:val="00DE3104"/>
    <w:rsid w:val="00F521F0"/>
    <w:rsid w:val="00F72EEA"/>
    <w:rsid w:val="00F84CAE"/>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US" w:eastAsia="en-US" w:bidi="ar-SA"/>
      </w:rPr>
    </w:rPrDefault>
    <w:pPrDefault>
      <w:pPr>
        <w:widowControl w:val="0"/>
      </w:pPr>
    </w:pPrDefault>
  </w:docDefaults>
  <w:latentStyles w:defLockedState="0" w:defUIPriority="0" w:defSemiHidden="0" w:defUnhideWhenUsed="0" w:defQFormat="0" w:count="276"/>
  <w:style w:type="paragraph" w:default="1" w:styleId="a">
    <w:name w:val="Normal"/>
    <w:uiPriority w:val="1"/>
    <w:qFormat/>
    <w:rsid w:val="00CD6F55"/>
    <w:rPr>
      <w:rFonts w:ascii="Tw Cen MT" w:eastAsia="Tw Cen MT" w:hAnsi="Tw Cen MT" w:cs="Tw Cen MT"/>
    </w:rPr>
  </w:style>
  <w:style w:type="paragraph" w:styleId="1">
    <w:name w:val="heading 1"/>
    <w:basedOn w:val="a"/>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2">
    <w:name w:val="heading 2"/>
    <w:basedOn w:val="a"/>
    <w:uiPriority w:val="1"/>
    <w:qFormat/>
    <w:rsid w:val="00CD6F55"/>
    <w:pPr>
      <w:ind w:left="100"/>
      <w:outlineLvl w:val="1"/>
    </w:pPr>
    <w:rPr>
      <w:rFonts w:ascii="Minion Pro" w:eastAsia="Minion Pro" w:hAnsi="Minion Pro" w:cs="Minion Pro"/>
      <w:sz w:val="24"/>
      <w:szCs w:val="24"/>
    </w:rPr>
  </w:style>
  <w:style w:type="paragraph" w:styleId="3">
    <w:name w:val="heading 3"/>
    <w:basedOn w:val="a"/>
    <w:uiPriority w:val="1"/>
    <w:qFormat/>
    <w:rsid w:val="00CD6F55"/>
    <w:pPr>
      <w:ind w:left="100"/>
      <w:outlineLvl w:val="2"/>
    </w:pPr>
    <w:rPr>
      <w:rFonts w:ascii="Arial" w:eastAsia="Arial" w:hAnsi="Arial" w:cs="Arial"/>
      <w:b/>
      <w:bCs/>
      <w:sz w:val="20"/>
      <w:szCs w:val="20"/>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link w:val="a4"/>
    <w:uiPriority w:val="1"/>
    <w:qFormat/>
    <w:rsid w:val="00CD6F55"/>
    <w:rPr>
      <w:sz w:val="18"/>
      <w:szCs w:val="18"/>
    </w:rPr>
  </w:style>
  <w:style w:type="paragraph" w:styleId="a5">
    <w:name w:val="List Paragraph"/>
    <w:basedOn w:val="a"/>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a"/>
    <w:uiPriority w:val="1"/>
    <w:qFormat/>
    <w:rsid w:val="00CD6F55"/>
  </w:style>
  <w:style w:type="paragraph" w:styleId="a6">
    <w:name w:val="header"/>
    <w:basedOn w:val="a"/>
    <w:link w:val="a7"/>
    <w:uiPriority w:val="99"/>
    <w:unhideWhenUsed/>
    <w:rsid w:val="005B3A56"/>
    <w:pPr>
      <w:tabs>
        <w:tab w:val="center" w:pos="4513"/>
        <w:tab w:val="right" w:pos="9026"/>
      </w:tabs>
    </w:pPr>
  </w:style>
  <w:style w:type="character" w:customStyle="1" w:styleId="a7">
    <w:name w:val="ヘッダー (文字)"/>
    <w:basedOn w:val="a0"/>
    <w:link w:val="a6"/>
    <w:uiPriority w:val="99"/>
    <w:rsid w:val="005B3A56"/>
    <w:rPr>
      <w:rFonts w:ascii="Tw Cen MT" w:eastAsia="Tw Cen MT" w:hAnsi="Tw Cen MT" w:cs="Tw Cen MT"/>
    </w:rPr>
  </w:style>
  <w:style w:type="paragraph" w:styleId="a8">
    <w:name w:val="footer"/>
    <w:basedOn w:val="a"/>
    <w:link w:val="a9"/>
    <w:uiPriority w:val="99"/>
    <w:unhideWhenUsed/>
    <w:rsid w:val="005B3A56"/>
    <w:pPr>
      <w:tabs>
        <w:tab w:val="center" w:pos="4513"/>
        <w:tab w:val="right" w:pos="9026"/>
      </w:tabs>
    </w:pPr>
  </w:style>
  <w:style w:type="character" w:customStyle="1" w:styleId="a9">
    <w:name w:val="フッター (文字)"/>
    <w:basedOn w:val="a0"/>
    <w:link w:val="a8"/>
    <w:uiPriority w:val="99"/>
    <w:rsid w:val="005B3A56"/>
    <w:rPr>
      <w:rFonts w:ascii="Tw Cen MT" w:eastAsia="Tw Cen MT" w:hAnsi="Tw Cen MT" w:cs="Tw Cen MT"/>
    </w:rPr>
  </w:style>
  <w:style w:type="paragraph" w:styleId="aa">
    <w:name w:val="Balloon Text"/>
    <w:basedOn w:val="a"/>
    <w:link w:val="ab"/>
    <w:uiPriority w:val="99"/>
    <w:semiHidden/>
    <w:unhideWhenUsed/>
    <w:rsid w:val="004F3523"/>
    <w:rPr>
      <w:rFonts w:ascii="Tahoma" w:hAnsi="Tahoma" w:cs="Tahoma"/>
      <w:sz w:val="16"/>
      <w:szCs w:val="16"/>
    </w:rPr>
  </w:style>
  <w:style w:type="character" w:customStyle="1" w:styleId="ab">
    <w:name w:val="吹き出し (文字)"/>
    <w:basedOn w:val="a0"/>
    <w:link w:val="aa"/>
    <w:uiPriority w:val="99"/>
    <w:semiHidden/>
    <w:rsid w:val="004F3523"/>
    <w:rPr>
      <w:rFonts w:ascii="Tahoma" w:eastAsia="Tw Cen MT" w:hAnsi="Tahoma" w:cs="Tahoma"/>
      <w:sz w:val="16"/>
      <w:szCs w:val="16"/>
    </w:rPr>
  </w:style>
  <w:style w:type="character" w:styleId="ac">
    <w:name w:val="Hyperlink"/>
    <w:basedOn w:val="a0"/>
    <w:uiPriority w:val="99"/>
    <w:unhideWhenUsed/>
    <w:rsid w:val="008756E6"/>
    <w:rPr>
      <w:color w:val="0000FF" w:themeColor="hyperlink"/>
      <w:u w:val="single"/>
    </w:rPr>
  </w:style>
  <w:style w:type="character" w:customStyle="1" w:styleId="a4">
    <w:name w:val="本文 (文字)"/>
    <w:basedOn w:val="a0"/>
    <w:link w:val="a3"/>
    <w:uiPriority w:val="1"/>
    <w:rsid w:val="005973B9"/>
    <w:rPr>
      <w:rFonts w:ascii="Tw Cen MT" w:eastAsia="Tw Cen MT" w:hAnsi="Tw Cen MT" w:cs="Tw Cen M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webSettings.xml><?xml version="1.0" encoding="utf-8"?>
<w:webSettings xmlns:r="http://schemas.openxmlformats.org/officeDocument/2006/relationships" xmlns:w="http://schemas.openxmlformats.org/wordprocessingml/2006/main">
  <w:divs>
    <w:div w:id="541602963">
      <w:bodyDiv w:val="1"/>
      <w:marLeft w:val="0"/>
      <w:marRight w:val="0"/>
      <w:marTop w:val="0"/>
      <w:marBottom w:val="0"/>
      <w:divBdr>
        <w:top w:val="none" w:sz="0" w:space="0" w:color="auto"/>
        <w:left w:val="none" w:sz="0" w:space="0" w:color="auto"/>
        <w:bottom w:val="none" w:sz="0" w:space="0" w:color="auto"/>
        <w:right w:val="none" w:sz="0" w:space="0" w:color="auto"/>
      </w:divBdr>
    </w:div>
    <w:div w:id="14700569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dx.doi.org/10.4172/2167-0846.C1.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Pages>
  <Words>365</Words>
  <Characters>2081</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mehaboobi shaik</dc:creator>
  <cp:lastModifiedBy>吉田 一麦</cp:lastModifiedBy>
  <cp:revision>6</cp:revision>
  <dcterms:created xsi:type="dcterms:W3CDTF">2016-08-31T10:27:00Z</dcterms:created>
  <dcterms:modified xsi:type="dcterms:W3CDTF">2018-02-08T06:28:00Z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2016-08-23T00:00:00Z</vt:filetime>
  </property>
  <property fmtid="{D5CDD505-2E9C-101B-9397-08002B2CF9AE}" pid="3" name="Creator">
    <vt:lpwstr>Adobe InDesign CC 2015 (Windows)</vt:lpwstr>
  </property>
  <property fmtid="{D5CDD505-2E9C-101B-9397-08002B2CF9AE}" pid="4" name="LastSaved">
    <vt:filetime>2016-08-23T00:00:00Z</vt:filetime>
  </property>
</Properties>
</file>