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78738A" w:rsidRDefault="0078738A" w:rsidP="005973B9">
      <w:pPr>
        <w:pStyle w:val="BodyText"/>
        <w:spacing w:before="73" w:line="198" w:lineRule="exact"/>
        <w:ind w:left="100" w:right="5987"/>
        <w:rPr>
          <w:rFonts w:ascii="Arial"/>
        </w:rPr>
      </w:pPr>
      <w:r>
        <w:rPr>
          <w:rFonts w:ascii="Arial"/>
        </w:rPr>
        <w:t>Dr ABC</w:t>
      </w:r>
      <w:r w:rsidR="005973B9">
        <w:rPr>
          <w:rFonts w:ascii="Arial"/>
        </w:rPr>
        <w:t xml:space="preserve">, RN PhD, TLI Foundation, USA </w:t>
      </w:r>
    </w:p>
    <w:p w:rsidR="005973B9" w:rsidRDefault="0078738A" w:rsidP="005973B9">
      <w:pPr>
        <w:pStyle w:val="BodyText"/>
        <w:spacing w:before="73" w:line="198" w:lineRule="exact"/>
        <w:ind w:left="100" w:right="5987"/>
        <w:rPr>
          <w:rFonts w:ascii="Arial"/>
        </w:rPr>
      </w:pPr>
      <w:r>
        <w:rPr>
          <w:rFonts w:ascii="Arial"/>
        </w:rPr>
        <w:t>Dr ABC</w:t>
      </w:r>
      <w:r w:rsidR="005973B9">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B22BF0">
          <w:headerReference w:type="default" r:id="rId9"/>
          <w:footerReference w:type="default" r:id="rId10"/>
          <w:type w:val="continuous"/>
          <w:pgSz w:w="11910" w:h="16840"/>
          <w:pgMar w:top="1740" w:right="600" w:bottom="840" w:left="620" w:header="0" w:footer="642" w:gutter="0"/>
          <w:cols w:space="720"/>
          <w:docGrid w:linePitch="299"/>
        </w:sectPr>
      </w:pPr>
    </w:p>
    <w:p w:rsidR="00AE3E37" w:rsidRDefault="00A9710C">
      <w:pPr>
        <w:pStyle w:val="Heading3"/>
        <w:spacing w:before="147"/>
        <w:jc w:val="both"/>
      </w:pPr>
      <w:r>
        <w:rPr>
          <w:color w:val="BF5A14"/>
        </w:rPr>
        <w:lastRenderedPageBreak/>
        <w:t>Abstract</w:t>
      </w:r>
      <w:r w:rsidR="008A0593">
        <w:rPr>
          <w:color w:val="BF5A14"/>
        </w:rPr>
        <w:t>*</w:t>
      </w:r>
      <w:bookmarkStart w:id="0" w:name="_GoBack"/>
      <w:bookmarkEnd w:id="0"/>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w:t>
      </w:r>
      <w:r w:rsidR="0078738A">
        <w:t xml:space="preserve"> </w:t>
      </w:r>
      <w:r>
        <w:t>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78738A">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B22BF0" w:rsidRDefault="00B22BF0">
      <w:pPr>
        <w:pStyle w:val="BodyText"/>
        <w:spacing w:before="90" w:line="280" w:lineRule="auto"/>
        <w:ind w:left="100"/>
        <w:jc w:val="both"/>
      </w:pPr>
      <w:r>
        <w:rPr>
          <w:rFonts w:ascii="Calibri"/>
          <w:noProof/>
          <w:sz w:val="4"/>
          <w:lang w:val="en-IN" w:eastAsia="en-IN"/>
        </w:rPr>
        <mc:AlternateContent>
          <mc:Choice Requires="wpg">
            <w:drawing>
              <wp:anchor distT="0" distB="0" distL="114300" distR="114300" simplePos="0" relativeHeight="251659264" behindDoc="1" locked="0" layoutInCell="1" allowOverlap="1">
                <wp:simplePos x="0" y="0"/>
                <wp:positionH relativeFrom="column">
                  <wp:posOffset>1477975</wp:posOffset>
                </wp:positionH>
                <wp:positionV relativeFrom="paragraph">
                  <wp:posOffset>201295</wp:posOffset>
                </wp:positionV>
                <wp:extent cx="3975735" cy="25400"/>
                <wp:effectExtent l="0" t="0" r="0" b="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16.4pt;margin-top:15.85pt;width:313.05pt;height:2pt;z-index:-251657216"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v:group>
            </w:pict>
          </mc:Fallback>
        </mc:AlternateContent>
      </w:r>
    </w:p>
    <w:p w:rsidR="00AE3E37" w:rsidRPr="00E93E3D" w:rsidRDefault="00A9710C">
      <w:pPr>
        <w:pStyle w:val="Heading3"/>
        <w:spacing w:before="74"/>
        <w:rPr>
          <w:b w:val="0"/>
        </w:rPr>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17AB9FA7" wp14:editId="2E1878F3">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r w:rsidR="008A0593">
        <w:rPr>
          <w:rFonts w:ascii="Arial"/>
          <w:b/>
          <w:color w:val="BF5A14"/>
          <w:sz w:val="20"/>
        </w:rPr>
        <w:t>*</w:t>
      </w:r>
    </w:p>
    <w:p w:rsidR="005973B9" w:rsidRDefault="005973B9" w:rsidP="004C2D08">
      <w:pPr>
        <w:pStyle w:val="ListParagraph"/>
        <w:numPr>
          <w:ilvl w:val="0"/>
          <w:numId w:val="3"/>
        </w:numPr>
        <w:tabs>
          <w:tab w:val="left" w:pos="384"/>
        </w:tabs>
        <w:spacing w:before="103" w:line="240" w:lineRule="auto"/>
        <w:ind w:right="138" w:hanging="283"/>
        <w:rPr>
          <w:sz w:val="18"/>
        </w:rPr>
      </w:pPr>
      <w:r>
        <w:rPr>
          <w:sz w:val="18"/>
        </w:rPr>
        <w:t xml:space="preserve">Harper C (2009) </w:t>
      </w:r>
      <w:hyperlink r:id="rId12" w:history="1">
        <w:proofErr w:type="gramStart"/>
        <w:r w:rsidRPr="00872250">
          <w:rPr>
            <w:rStyle w:val="Hyperlink"/>
            <w:sz w:val="18"/>
          </w:rPr>
          <w:t>The</w:t>
        </w:r>
        <w:proofErr w:type="gramEnd"/>
        <w:r w:rsidRPr="00872250">
          <w:rPr>
            <w:rStyle w:val="Hyperlink"/>
            <w:sz w:val="18"/>
          </w:rPr>
          <w:t xml:space="preserve"> neuropathology of alcohol-related </w:t>
        </w:r>
        <w:proofErr w:type="spellStart"/>
        <w:r w:rsidRPr="00872250">
          <w:rPr>
            <w:rStyle w:val="Hyperlink"/>
            <w:sz w:val="18"/>
          </w:rPr>
          <w:t>braindamage</w:t>
        </w:r>
        <w:proofErr w:type="spellEnd"/>
        <w:r w:rsidRPr="00872250">
          <w:rPr>
            <w:rStyle w:val="Hyperlink"/>
            <w:sz w:val="18"/>
          </w:rPr>
          <w:t xml:space="preserve">. Alcohol </w:t>
        </w:r>
        <w:proofErr w:type="spellStart"/>
        <w:r w:rsidRPr="00872250">
          <w:rPr>
            <w:rStyle w:val="Hyperlink"/>
            <w:sz w:val="18"/>
          </w:rPr>
          <w:t>Alcohol</w:t>
        </w:r>
        <w:proofErr w:type="spellEnd"/>
      </w:hyperlink>
      <w:r w:rsidRPr="005973B9">
        <w:rPr>
          <w:sz w:val="18"/>
        </w:rPr>
        <w:t xml:space="preserve"> 44:136-140.</w:t>
      </w:r>
    </w:p>
    <w:p w:rsidR="00184589" w:rsidRDefault="00184589" w:rsidP="004C2D08">
      <w:pPr>
        <w:pStyle w:val="ListParagraph"/>
        <w:tabs>
          <w:tab w:val="left" w:pos="384"/>
        </w:tabs>
        <w:spacing w:before="103" w:line="240" w:lineRule="auto"/>
        <w:ind w:right="138" w:firstLine="0"/>
        <w:rPr>
          <w:sz w:val="18"/>
        </w:rPr>
      </w:pPr>
      <w:r w:rsidRPr="00184589">
        <w:rPr>
          <w:sz w:val="18"/>
        </w:rPr>
        <w:t>https://pubmed.ncbi.nlm.nih.gov/19147798/</w:t>
      </w:r>
    </w:p>
    <w:p w:rsidR="005973B9" w:rsidRDefault="005973B9" w:rsidP="004C2D08">
      <w:pPr>
        <w:pStyle w:val="ListParagraph"/>
        <w:numPr>
          <w:ilvl w:val="0"/>
          <w:numId w:val="3"/>
        </w:numPr>
        <w:tabs>
          <w:tab w:val="left" w:pos="384"/>
        </w:tabs>
        <w:spacing w:line="240" w:lineRule="auto"/>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w:t>
      </w:r>
      <w:hyperlink r:id="rId13" w:history="1">
        <w:r w:rsidRPr="00872250">
          <w:rPr>
            <w:rStyle w:val="Hyperlink"/>
            <w:sz w:val="18"/>
          </w:rPr>
          <w:t xml:space="preserve">Pharmacological treatment of alcohol dependence: </w:t>
        </w:r>
        <w:r w:rsidRPr="00872250">
          <w:rPr>
            <w:rStyle w:val="Hyperlink"/>
            <w:spacing w:val="-4"/>
            <w:sz w:val="18"/>
          </w:rPr>
          <w:t xml:space="preserve">Target </w:t>
        </w:r>
        <w:r w:rsidRPr="00872250">
          <w:rPr>
            <w:rStyle w:val="Hyperlink"/>
            <w:sz w:val="18"/>
          </w:rPr>
          <w:t>symptoms and target mechanisms. Pharmacology and therapeutics</w:t>
        </w:r>
      </w:hyperlink>
      <w:r>
        <w:rPr>
          <w:sz w:val="18"/>
        </w:rPr>
        <w:t xml:space="preserve"> 111:855-876.</w:t>
      </w:r>
    </w:p>
    <w:p w:rsidR="00184589" w:rsidRDefault="00184589" w:rsidP="004C2D08">
      <w:pPr>
        <w:pStyle w:val="ListParagraph"/>
        <w:tabs>
          <w:tab w:val="left" w:pos="384"/>
        </w:tabs>
        <w:spacing w:line="240" w:lineRule="auto"/>
        <w:ind w:right="137" w:firstLine="0"/>
        <w:rPr>
          <w:sz w:val="18"/>
        </w:rPr>
      </w:pPr>
      <w:r w:rsidRPr="00184589">
        <w:rPr>
          <w:sz w:val="18"/>
        </w:rPr>
        <w:t>https://www.nature.com/articles/npp2010253</w:t>
      </w:r>
    </w:p>
    <w:p w:rsidR="00184589" w:rsidRDefault="00DE76FC" w:rsidP="004C2D08">
      <w:pPr>
        <w:pStyle w:val="BodyText"/>
        <w:numPr>
          <w:ilvl w:val="0"/>
          <w:numId w:val="3"/>
        </w:numPr>
        <w:spacing w:before="85"/>
        <w:ind w:right="138"/>
        <w:jc w:val="both"/>
        <w:rPr>
          <w:rFonts w:ascii="Calibri" w:hAnsi="Calibri"/>
        </w:rPr>
      </w:pPr>
      <w:r>
        <w:rPr>
          <w:rFonts w:ascii="Calibri" w:hAnsi="Calibri"/>
        </w:rPr>
        <w:t xml:space="preserve">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hyperlink r:id="rId14" w:history="1">
        <w:proofErr w:type="spellStart"/>
        <w:r w:rsidRPr="00B22BF0">
          <w:rPr>
            <w:rStyle w:val="Hyperlink"/>
            <w:rFonts w:ascii="Calibri" w:hAnsi="Calibri"/>
          </w:rPr>
          <w:t>Neuroinflammation</w:t>
        </w:r>
        <w:proofErr w:type="spellEnd"/>
        <w:r w:rsidRPr="00B22BF0">
          <w:rPr>
            <w:rStyle w:val="Hyperlink"/>
            <w:rFonts w:ascii="Calibri" w:hAnsi="Calibri"/>
          </w:rPr>
          <w:t xml:space="preserve"> as a neurotoxic mechanism </w:t>
        </w:r>
        <w:proofErr w:type="gramStart"/>
        <w:r w:rsidRPr="00B22BF0">
          <w:rPr>
            <w:rStyle w:val="Hyperlink"/>
            <w:rFonts w:ascii="Calibri" w:hAnsi="Calibri"/>
          </w:rPr>
          <w:t>in  alcoholism</w:t>
        </w:r>
        <w:proofErr w:type="gramEnd"/>
        <w:r w:rsidRPr="00B22BF0">
          <w:rPr>
            <w:rStyle w:val="Hyperlink"/>
            <w:rFonts w:ascii="Calibri" w:hAnsi="Calibri"/>
          </w:rPr>
          <w:t xml:space="preserve">:  Commentary  on  “Increased  MCP-    1 and microglia in various regions of human alcoholic </w:t>
        </w:r>
        <w:r w:rsidRPr="00B22BF0">
          <w:rPr>
            <w:rStyle w:val="Hyperlink"/>
            <w:rFonts w:ascii="Calibri" w:hAnsi="Calibri"/>
            <w:spacing w:val="-4"/>
          </w:rPr>
          <w:t>brain</w:t>
        </w:r>
      </w:hyperlink>
      <w:r>
        <w:rPr>
          <w:rFonts w:ascii="Calibri" w:hAnsi="Calibri"/>
          <w:spacing w:val="-4"/>
        </w:rPr>
        <w:t xml:space="preserve">”. </w:t>
      </w:r>
      <w:r>
        <w:rPr>
          <w:rFonts w:ascii="Calibri" w:hAnsi="Calibri"/>
        </w:rPr>
        <w:t>Experimental neurology 213:10-17.</w:t>
      </w:r>
    </w:p>
    <w:p w:rsidR="00DE76FC" w:rsidRPr="00184589" w:rsidRDefault="00DE76FC" w:rsidP="004C2D08">
      <w:pPr>
        <w:pStyle w:val="BodyText"/>
        <w:spacing w:before="85"/>
        <w:ind w:left="383" w:right="138"/>
        <w:jc w:val="both"/>
        <w:rPr>
          <w:rFonts w:ascii="Calibri" w:eastAsia="Calibri" w:hAnsi="Calibri" w:cs="Calibri"/>
          <w:szCs w:val="22"/>
        </w:rPr>
      </w:pPr>
      <w:r w:rsidRPr="00184589">
        <w:rPr>
          <w:rFonts w:ascii="Calibri" w:eastAsia="Calibri" w:hAnsi="Calibri" w:cs="Calibri"/>
          <w:szCs w:val="22"/>
        </w:rPr>
        <w:t>https://www.ncbi.nlm.nih.gov/pmc/articles/PMC7985542/</w:t>
      </w:r>
    </w:p>
    <w:p w:rsidR="00184589" w:rsidRDefault="00DE76FC" w:rsidP="004C2D08">
      <w:pPr>
        <w:pStyle w:val="ListParagraph"/>
        <w:numPr>
          <w:ilvl w:val="0"/>
          <w:numId w:val="3"/>
        </w:numPr>
        <w:tabs>
          <w:tab w:val="left" w:pos="384"/>
        </w:tabs>
        <w:spacing w:line="240" w:lineRule="auto"/>
        <w:ind w:right="138"/>
        <w:rPr>
          <w:sz w:val="18"/>
        </w:rPr>
      </w:pPr>
      <w:proofErr w:type="spellStart"/>
      <w:r w:rsidRPr="005970A4">
        <w:rPr>
          <w:sz w:val="18"/>
        </w:rPr>
        <w:t>LiX</w:t>
      </w:r>
      <w:proofErr w:type="spellEnd"/>
      <w:r w:rsidRPr="005970A4">
        <w:rPr>
          <w:sz w:val="18"/>
        </w:rPr>
        <w:t xml:space="preserve">, </w:t>
      </w:r>
      <w:proofErr w:type="spellStart"/>
      <w:r w:rsidRPr="005970A4">
        <w:rPr>
          <w:sz w:val="18"/>
        </w:rPr>
        <w:t>SchwachaMG</w:t>
      </w:r>
      <w:proofErr w:type="spellEnd"/>
      <w:r w:rsidRPr="005970A4">
        <w:rPr>
          <w:sz w:val="18"/>
        </w:rPr>
        <w:t xml:space="preserve">, </w:t>
      </w:r>
      <w:proofErr w:type="spellStart"/>
      <w:r w:rsidRPr="005970A4">
        <w:rPr>
          <w:sz w:val="18"/>
        </w:rPr>
        <w:t>ChaudryIH</w:t>
      </w:r>
      <w:proofErr w:type="spellEnd"/>
      <w:r w:rsidRPr="005970A4">
        <w:rPr>
          <w:sz w:val="18"/>
        </w:rPr>
        <w:t xml:space="preserve">, </w:t>
      </w:r>
      <w:proofErr w:type="spellStart"/>
      <w:r w:rsidRPr="005970A4">
        <w:rPr>
          <w:sz w:val="18"/>
        </w:rPr>
        <w:t>ChoudhryMA</w:t>
      </w:r>
      <w:proofErr w:type="spellEnd"/>
      <w:r w:rsidRPr="005970A4">
        <w:rPr>
          <w:sz w:val="18"/>
        </w:rPr>
        <w:t xml:space="preserve"> (2008)</w:t>
      </w:r>
      <w:r>
        <w:rPr>
          <w:sz w:val="18"/>
        </w:rPr>
        <w:t xml:space="preserve"> </w:t>
      </w:r>
      <w:hyperlink r:id="rId15" w:history="1">
        <w:proofErr w:type="spellStart"/>
        <w:r w:rsidRPr="00B22BF0">
          <w:rPr>
            <w:rStyle w:val="Hyperlink"/>
            <w:sz w:val="18"/>
          </w:rPr>
          <w:t>Acutealcohol</w:t>
        </w:r>
        <w:proofErr w:type="spellEnd"/>
        <w:r w:rsidRPr="00B22BF0">
          <w:rPr>
            <w:rStyle w:val="Hyperlink"/>
            <w:sz w:val="18"/>
          </w:rPr>
          <w:t xml:space="preserve"> intoxication potentiates neutrophil-mediated intestinal tissue damage after burn injury</w:t>
        </w:r>
      </w:hyperlink>
      <w:r w:rsidRPr="005970A4">
        <w:rPr>
          <w:sz w:val="18"/>
        </w:rPr>
        <w:t>. Shock 29:377.</w:t>
      </w:r>
    </w:p>
    <w:p w:rsidR="00184589" w:rsidRDefault="00184589" w:rsidP="004C2D08">
      <w:pPr>
        <w:pStyle w:val="ListParagraph"/>
        <w:tabs>
          <w:tab w:val="left" w:pos="384"/>
        </w:tabs>
        <w:spacing w:line="240" w:lineRule="auto"/>
        <w:ind w:right="138" w:firstLine="0"/>
        <w:rPr>
          <w:sz w:val="18"/>
          <w:szCs w:val="18"/>
        </w:rPr>
      </w:pPr>
      <w:r w:rsidRPr="00184589">
        <w:rPr>
          <w:sz w:val="18"/>
          <w:szCs w:val="18"/>
        </w:rPr>
        <w:t>https://pubmed.ncbi.nlm.nih.gov/18000475/</w:t>
      </w:r>
    </w:p>
    <w:p w:rsidR="00184589" w:rsidRPr="00184589" w:rsidRDefault="00184589" w:rsidP="004C2D08">
      <w:pPr>
        <w:pStyle w:val="ListParagraph"/>
        <w:numPr>
          <w:ilvl w:val="0"/>
          <w:numId w:val="3"/>
        </w:numPr>
        <w:tabs>
          <w:tab w:val="left" w:pos="384"/>
        </w:tabs>
        <w:spacing w:line="240" w:lineRule="auto"/>
        <w:ind w:right="138"/>
        <w:rPr>
          <w:sz w:val="18"/>
        </w:rPr>
      </w:pPr>
      <w:r w:rsidRPr="00184589">
        <w:rPr>
          <w:sz w:val="18"/>
        </w:rPr>
        <w:t xml:space="preserve">Room R, </w:t>
      </w:r>
      <w:proofErr w:type="spellStart"/>
      <w:r w:rsidRPr="00184589">
        <w:rPr>
          <w:sz w:val="18"/>
        </w:rPr>
        <w:t>BaborT</w:t>
      </w:r>
      <w:proofErr w:type="gramStart"/>
      <w:r w:rsidRPr="00184589">
        <w:rPr>
          <w:sz w:val="18"/>
        </w:rPr>
        <w:t>,Rehm</w:t>
      </w:r>
      <w:proofErr w:type="spellEnd"/>
      <w:proofErr w:type="gramEnd"/>
      <w:r w:rsidRPr="00184589">
        <w:rPr>
          <w:sz w:val="18"/>
        </w:rPr>
        <w:t xml:space="preserve"> J (2005) </w:t>
      </w:r>
      <w:hyperlink r:id="rId16" w:history="1">
        <w:r w:rsidRPr="00184589">
          <w:rPr>
            <w:rStyle w:val="Hyperlink"/>
            <w:sz w:val="18"/>
          </w:rPr>
          <w:t>Alcohol and public health</w:t>
        </w:r>
      </w:hyperlink>
      <w:r w:rsidRPr="00184589">
        <w:rPr>
          <w:sz w:val="18"/>
        </w:rPr>
        <w:t>. Lancet 365: 519-530.</w:t>
      </w:r>
      <w:r w:rsidRPr="00184589">
        <w:rPr>
          <w:sz w:val="18"/>
        </w:rPr>
        <w:tab/>
      </w:r>
      <w:r w:rsidRPr="00184589">
        <w:rPr>
          <w:sz w:val="18"/>
        </w:rPr>
        <w:tab/>
        <w:t>https://www.thelancet.com/journals/lancet/article/PIIS0140-6736(05)66370-2/fulltext</w:t>
      </w:r>
    </w:p>
    <w:p w:rsidR="00184589" w:rsidRDefault="00184589" w:rsidP="00184589">
      <w:pPr>
        <w:pStyle w:val="ListParagraph"/>
        <w:tabs>
          <w:tab w:val="left" w:pos="384"/>
        </w:tabs>
        <w:spacing w:line="216" w:lineRule="exact"/>
        <w:ind w:right="138" w:firstLine="0"/>
        <w:rPr>
          <w:sz w:val="18"/>
        </w:rPr>
      </w:pPr>
      <w:r>
        <w:rPr>
          <w:sz w:val="18"/>
        </w:rPr>
        <w:br/>
      </w:r>
    </w:p>
    <w:p w:rsidR="00184589" w:rsidRDefault="00184589" w:rsidP="00184589">
      <w:pPr>
        <w:pStyle w:val="ListParagraph"/>
        <w:tabs>
          <w:tab w:val="left" w:pos="384"/>
        </w:tabs>
        <w:spacing w:line="216" w:lineRule="exact"/>
        <w:ind w:right="138" w:firstLine="0"/>
        <w:rPr>
          <w:sz w:val="18"/>
        </w:rPr>
      </w:pPr>
    </w:p>
    <w:p w:rsidR="00AE3E37" w:rsidRPr="008756E6" w:rsidRDefault="00AE3E37" w:rsidP="008756E6">
      <w:pPr>
        <w:tabs>
          <w:tab w:val="left" w:pos="384"/>
        </w:tabs>
        <w:ind w:right="117"/>
      </w:pPr>
    </w:p>
    <w:p w:rsidR="009C0D18" w:rsidRDefault="009C0D18" w:rsidP="009C0D18">
      <w:pPr>
        <w:spacing w:line="200" w:lineRule="exact"/>
        <w:rPr>
          <w:rFonts w:ascii="Arial"/>
          <w:b/>
          <w:color w:val="BF5A14"/>
          <w:sz w:val="20"/>
        </w:rPr>
      </w:pPr>
    </w:p>
    <w:p w:rsidR="005970A4" w:rsidRPr="005970A4" w:rsidRDefault="005970A4" w:rsidP="005970A4">
      <w:pPr>
        <w:pStyle w:val="ListParagraph"/>
        <w:tabs>
          <w:tab w:val="left" w:pos="384"/>
        </w:tabs>
        <w:spacing w:line="216" w:lineRule="exact"/>
        <w:ind w:left="720" w:right="138" w:firstLine="0"/>
        <w:rPr>
          <w:sz w:val="18"/>
        </w:rPr>
        <w:sectPr w:rsidR="005970A4" w:rsidRPr="005970A4">
          <w:type w:val="continuous"/>
          <w:pgSz w:w="11910" w:h="16840"/>
          <w:pgMar w:top="1740" w:right="600" w:bottom="840" w:left="620" w:header="720" w:footer="720" w:gutter="0"/>
          <w:cols w:num="2" w:space="720" w:equalWidth="0">
            <w:col w:w="5214" w:space="138"/>
            <w:col w:w="5338"/>
          </w:cols>
        </w:sectPr>
      </w:pPr>
    </w:p>
    <w:p w:rsidR="00AE3E37" w:rsidRPr="00D62425" w:rsidRDefault="00D62425">
      <w:pPr>
        <w:pStyle w:val="BodyText"/>
        <w:rPr>
          <w:rFonts w:ascii="Calibri"/>
          <w:b/>
          <w:sz w:val="20"/>
        </w:rPr>
      </w:pPr>
      <w:r>
        <w:rPr>
          <w:rFonts w:ascii="Calibri"/>
          <w:sz w:val="20"/>
        </w:rPr>
        <w:lastRenderedPageBreak/>
        <w:t xml:space="preserve">                 </w:t>
      </w:r>
      <w:r w:rsidRPr="00D62425">
        <w:rPr>
          <w:rFonts w:ascii="Calibri"/>
          <w:b/>
          <w:sz w:val="20"/>
        </w:rPr>
        <w:t>Photograph</w:t>
      </w:r>
    </w:p>
    <w:p w:rsidR="00AE3E37" w:rsidRDefault="00AE3E37">
      <w:pPr>
        <w:pStyle w:val="BodyText"/>
        <w:spacing w:line="40" w:lineRule="exact"/>
        <w:ind w:left="2202"/>
        <w:rPr>
          <w:rFonts w:ascii="Calibri"/>
          <w:sz w:val="4"/>
        </w:rPr>
      </w:pP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3077EC">
        <w:rPr>
          <w:noProof/>
        </w:rPr>
        <w:t xml:space="preserve">  </w:t>
      </w:r>
      <w:r w:rsidR="00A9710C">
        <w:rPr>
          <w:rFonts w:ascii="Arial"/>
          <w:color w:val="BF5A14"/>
        </w:rPr>
        <w:t>Biography</w:t>
      </w:r>
      <w:r w:rsidR="008A0593">
        <w:rPr>
          <w:rFonts w:ascii="Arial"/>
          <w:color w:val="BF5A14"/>
        </w:rPr>
        <w:t>*</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w:t>
      </w:r>
      <w:r w:rsidR="0078738A">
        <w:rPr>
          <w:rFonts w:ascii="Arial"/>
          <w:sz w:val="14"/>
        </w:rPr>
        <w:t xml:space="preserve">r </w:t>
      </w:r>
      <w:r>
        <w:rPr>
          <w:rFonts w:ascii="Arial"/>
          <w:sz w:val="14"/>
        </w:rPr>
        <w:t>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E41561" w:rsidRPr="00E41561" w:rsidRDefault="00A9710C" w:rsidP="00E41561">
      <w:pPr>
        <w:spacing w:before="62"/>
        <w:ind w:left="4217" w:right="4235"/>
        <w:jc w:val="center"/>
        <w:rPr>
          <w:rFonts w:ascii="Arial"/>
          <w:color w:val="0000FF" w:themeColor="hyperlink"/>
          <w:sz w:val="14"/>
          <w:u w:val="single"/>
        </w:rPr>
      </w:pPr>
      <w:r>
        <w:rPr>
          <w:rFonts w:ascii="Arial"/>
          <w:sz w:val="14"/>
        </w:rPr>
        <w:t xml:space="preserve">Email: </w:t>
      </w:r>
      <w:hyperlink r:id="rId18" w:history="1">
        <w:r w:rsidR="008756E6" w:rsidRPr="00616076">
          <w:rPr>
            <w:rStyle w:val="Hyperlink"/>
            <w:rFonts w:ascii="Arial"/>
            <w:sz w:val="14"/>
          </w:rPr>
          <w:t>drXXXXXXX@xxxmail.com</w:t>
        </w:r>
      </w:hyperlink>
    </w:p>
    <w:p w:rsidR="00AE3E37" w:rsidRDefault="00E41561" w:rsidP="00E41561">
      <w:pPr>
        <w:pStyle w:val="BodyText"/>
        <w:spacing w:before="2"/>
        <w:jc w:val="center"/>
        <w:rPr>
          <w:rFonts w:ascii="Arial"/>
          <w:sz w:val="14"/>
          <w:szCs w:val="14"/>
        </w:rPr>
      </w:pPr>
      <w:r>
        <w:rPr>
          <w:rFonts w:ascii="Arial"/>
          <w:sz w:val="14"/>
          <w:szCs w:val="14"/>
        </w:rPr>
        <w:t>Phone No: (___) ____ ____</w:t>
      </w:r>
    </w:p>
    <w:p w:rsidR="00E41561" w:rsidRDefault="00E41561" w:rsidP="00E41561">
      <w:pPr>
        <w:pStyle w:val="BodyText"/>
        <w:spacing w:before="2"/>
        <w:jc w:val="center"/>
        <w:rPr>
          <w:rFonts w:ascii="Arial"/>
          <w:sz w:val="14"/>
          <w:szCs w:val="14"/>
        </w:rPr>
      </w:pPr>
      <w:proofErr w:type="spellStart"/>
      <w:r>
        <w:rPr>
          <w:rFonts w:ascii="Arial"/>
          <w:sz w:val="14"/>
          <w:szCs w:val="14"/>
        </w:rPr>
        <w:t>Whatsapp</w:t>
      </w:r>
      <w:proofErr w:type="spellEnd"/>
      <w:r>
        <w:rPr>
          <w:rFonts w:ascii="Arial"/>
          <w:sz w:val="14"/>
          <w:szCs w:val="14"/>
        </w:rPr>
        <w:t xml:space="preserve"> no: </w:t>
      </w:r>
      <w:r w:rsidRPr="00E41561">
        <w:rPr>
          <w:rFonts w:ascii="Arial"/>
          <w:sz w:val="14"/>
          <w:szCs w:val="14"/>
        </w:rPr>
        <w:t>(___) ____ ____</w:t>
      </w:r>
    </w:p>
    <w:p w:rsidR="00E41561" w:rsidRDefault="005970A4" w:rsidP="005970A4">
      <w:pPr>
        <w:pStyle w:val="BodyText"/>
        <w:spacing w:before="2"/>
        <w:jc w:val="center"/>
        <w:rPr>
          <w:rFonts w:ascii="Arial"/>
          <w:sz w:val="14"/>
          <w:szCs w:val="14"/>
        </w:rPr>
      </w:pPr>
      <w:r>
        <w:rPr>
          <w:rFonts w:ascii="Arial"/>
          <w:sz w:val="14"/>
          <w:szCs w:val="14"/>
        </w:rPr>
        <w:t>LinkedIn Account Id:</w:t>
      </w:r>
    </w:p>
    <w:p w:rsidR="00E41561" w:rsidRDefault="00E41561" w:rsidP="00E41561">
      <w:pPr>
        <w:pStyle w:val="BodyText"/>
        <w:spacing w:before="2"/>
        <w:jc w:val="center"/>
        <w:rPr>
          <w:rFonts w:ascii="Arial"/>
          <w:sz w:val="14"/>
          <w:szCs w:val="14"/>
        </w:rPr>
      </w:pPr>
      <w:r>
        <w:rPr>
          <w:noProof/>
          <w:lang w:val="en-IN" w:eastAsia="en-IN"/>
        </w:rPr>
        <mc:AlternateContent>
          <mc:Choice Requires="wps">
            <w:drawing>
              <wp:anchor distT="0" distB="0" distL="0" distR="0" simplePos="0" relativeHeight="1072" behindDoc="0" locked="0" layoutInCell="1" allowOverlap="1" wp14:anchorId="27BC3054" wp14:editId="7996C60D">
                <wp:simplePos x="0" y="0"/>
                <wp:positionH relativeFrom="page">
                  <wp:posOffset>2058670</wp:posOffset>
                </wp:positionH>
                <wp:positionV relativeFrom="paragraph">
                  <wp:posOffset>73025</wp:posOffset>
                </wp:positionV>
                <wp:extent cx="3442335" cy="0"/>
                <wp:effectExtent l="0" t="0" r="24765" b="19050"/>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5.75pt" to="433.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" strokecolor="#004080" strokeweight=".5pt">
                <w10:wrap type="topAndBottom" anchorx="page"/>
              </v:line>
            </w:pict>
          </mc:Fallback>
        </mc:AlternateContent>
      </w:r>
    </w:p>
    <w:p w:rsidR="00E41561" w:rsidRDefault="00E41561" w:rsidP="00E41561">
      <w:pPr>
        <w:pStyle w:val="BodyText"/>
        <w:spacing w:before="2"/>
        <w:jc w:val="center"/>
        <w:rPr>
          <w:rFonts w:ascii="Arial"/>
          <w:sz w:val="19"/>
        </w:rPr>
      </w:pP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181" w:rsidRDefault="00ED2181">
      <w:r>
        <w:separator/>
      </w:r>
    </w:p>
  </w:endnote>
  <w:endnote w:type="continuationSeparator" w:id="0">
    <w:p w:rsidR="00ED2181" w:rsidRDefault="00ED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3"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0689314E" wp14:editId="58352892">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0A623B77" wp14:editId="758FF036">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DFF395C" wp14:editId="33484E12">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181" w:rsidRDefault="00ED2181">
      <w:r>
        <w:separator/>
      </w:r>
    </w:p>
  </w:footnote>
  <w:footnote w:type="continuationSeparator" w:id="0">
    <w:p w:rsidR="00ED2181" w:rsidRDefault="00ED2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6E5941D7" wp14:editId="713FCA84">
              <wp:simplePos x="0" y="0"/>
              <wp:positionH relativeFrom="page">
                <wp:posOffset>488392</wp:posOffset>
              </wp:positionH>
              <wp:positionV relativeFrom="page">
                <wp:posOffset>269596</wp:posOffset>
              </wp:positionV>
              <wp:extent cx="6552565" cy="509270"/>
              <wp:effectExtent l="0" t="0" r="635" b="50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B22BF0" w:rsidRDefault="00B22BF0" w:rsidP="00B22BF0">
                          <w:pPr>
                            <w:spacing w:line="614" w:lineRule="exact"/>
                            <w:ind w:left="20" w:right="-10"/>
                            <w:jc w:val="center"/>
                            <w:rPr>
                              <w:rFonts w:ascii="Arial Black" w:hAnsi="Arial Black"/>
                              <w:color w:val="C00000"/>
                              <w:sz w:val="24"/>
                            </w:rPr>
                          </w:pPr>
                          <w:r w:rsidRPr="00B22BF0">
                            <w:rPr>
                              <w:rFonts w:ascii="Arial Black" w:hAnsi="Arial Black"/>
                              <w:color w:val="C00000"/>
                              <w:sz w:val="18"/>
                              <w:szCs w:val="18"/>
                            </w:rPr>
                            <w:t>International Conference on Dentistry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45pt;margin-top:21.25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" filled="f" stroked="f">
              <v:textbox inset="0,0,0,0">
                <w:txbxContent>
                  <w:p w:rsidR="00AE3E37" w:rsidRPr="00B22BF0" w:rsidRDefault="00B22BF0" w:rsidP="00B22BF0">
                    <w:pPr>
                      <w:spacing w:line="614" w:lineRule="exact"/>
                      <w:ind w:left="20" w:right="-10"/>
                      <w:jc w:val="center"/>
                      <w:rPr>
                        <w:rFonts w:ascii="Arial Black" w:hAnsi="Arial Black"/>
                        <w:color w:val="C00000"/>
                        <w:sz w:val="24"/>
                      </w:rPr>
                    </w:pPr>
                    <w:r w:rsidRPr="00B22BF0">
                      <w:rPr>
                        <w:rFonts w:ascii="Arial Black" w:hAnsi="Arial Black"/>
                        <w:color w:val="C00000"/>
                        <w:sz w:val="18"/>
                        <w:szCs w:val="18"/>
                      </w:rPr>
                      <w:t>International Conference on Dentistry</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2A1"/>
    <w:multiLevelType w:val="hybridMultilevel"/>
    <w:tmpl w:val="F96AF4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2">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1"/>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84589"/>
    <w:rsid w:val="001E763C"/>
    <w:rsid w:val="00292ED9"/>
    <w:rsid w:val="003077EC"/>
    <w:rsid w:val="00314AFB"/>
    <w:rsid w:val="00347E3C"/>
    <w:rsid w:val="00370305"/>
    <w:rsid w:val="003B76D9"/>
    <w:rsid w:val="00404E5B"/>
    <w:rsid w:val="00414F7B"/>
    <w:rsid w:val="004355DC"/>
    <w:rsid w:val="004749B4"/>
    <w:rsid w:val="00494130"/>
    <w:rsid w:val="004C2D08"/>
    <w:rsid w:val="004F3523"/>
    <w:rsid w:val="005543BD"/>
    <w:rsid w:val="005970A4"/>
    <w:rsid w:val="005973B9"/>
    <w:rsid w:val="005B3A56"/>
    <w:rsid w:val="006060CE"/>
    <w:rsid w:val="0063497F"/>
    <w:rsid w:val="0078738A"/>
    <w:rsid w:val="00872250"/>
    <w:rsid w:val="00873DF0"/>
    <w:rsid w:val="00875129"/>
    <w:rsid w:val="008756E6"/>
    <w:rsid w:val="008A0593"/>
    <w:rsid w:val="00964680"/>
    <w:rsid w:val="009B2D44"/>
    <w:rsid w:val="009C0D18"/>
    <w:rsid w:val="00A07E82"/>
    <w:rsid w:val="00A9710C"/>
    <w:rsid w:val="00AE3E37"/>
    <w:rsid w:val="00B21A57"/>
    <w:rsid w:val="00B22BF0"/>
    <w:rsid w:val="00C33602"/>
    <w:rsid w:val="00CD6F55"/>
    <w:rsid w:val="00D62425"/>
    <w:rsid w:val="00DE3104"/>
    <w:rsid w:val="00DE76FC"/>
    <w:rsid w:val="00E41561"/>
    <w:rsid w:val="00E93E3D"/>
    <w:rsid w:val="00ED2181"/>
    <w:rsid w:val="00F72EEA"/>
    <w:rsid w:val="00F8136A"/>
    <w:rsid w:val="00F84CAE"/>
    <w:rsid w:val="00FA5E87"/>
    <w:rsid w:val="00FD5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ture.com/articles/npp2010253" TargetMode="External"/><Relationship Id="rId18" Type="http://schemas.openxmlformats.org/officeDocument/2006/relationships/hyperlink" Target="mailto:drXXXXXXX@xxx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ubmed.ncbi.nlm.nih.gov/19147798/"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thelancet.com/journals/lancet/article/PIIS0140-6736(05)66370-2/fulltex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pubmed.ncbi.nlm.nih.gov/18000475/"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ncbi.nlm.nih.gov/pmc/articles/PMC79855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64024-F0EF-432E-9C5D-84D0E54B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USER</cp:lastModifiedBy>
  <cp:revision>19</cp:revision>
  <dcterms:created xsi:type="dcterms:W3CDTF">2016-08-31T13:10:00Z</dcterms:created>
  <dcterms:modified xsi:type="dcterms:W3CDTF">2022-04-27T04:10:00Z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