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r>
        <w:rPr>
          <w:color w:val="337AB7"/>
        </w:rPr>
        <w:t>Women, trauma and alcohol dependency: Connections and disconnections in alcohol treatment for women</w:t>
      </w:r>
    </w:p>
    <w:p w:rsidR="0078738A" w:rsidRDefault="0078738A" w:rsidP="005973B9">
      <w:pPr>
        <w:pStyle w:val="BodyText"/>
        <w:spacing w:before="73" w:line="198" w:lineRule="exact"/>
        <w:ind w:left="100" w:right="5987"/>
        <w:rPr>
          <w:rFonts w:ascii="Arial"/>
        </w:rPr>
      </w:pPr>
      <w:r>
        <w:rPr>
          <w:rFonts w:ascii="Arial"/>
        </w:rPr>
        <w:t>Dr ABC</w:t>
      </w:r>
      <w:r w:rsidR="005973B9">
        <w:rPr>
          <w:rFonts w:ascii="Arial"/>
        </w:rPr>
        <w:t xml:space="preserve">, RN PhD, TLI Foundation, USA </w:t>
      </w:r>
    </w:p>
    <w:p w:rsidR="005973B9" w:rsidRDefault="0078738A" w:rsidP="005973B9">
      <w:pPr>
        <w:pStyle w:val="BodyText"/>
        <w:spacing w:before="73" w:line="198" w:lineRule="exact"/>
        <w:ind w:left="100" w:right="5987"/>
        <w:rPr>
          <w:rFonts w:ascii="Arial"/>
        </w:rPr>
      </w:pPr>
      <w:r>
        <w:rPr>
          <w:rFonts w:ascii="Arial"/>
        </w:rPr>
        <w:t>Dr ABC</w:t>
      </w:r>
      <w:r w:rsidR="005973B9">
        <w:rPr>
          <w:rFonts w:ascii="Arial"/>
        </w:rPr>
        <w:t>,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Statement of the Problem: Women who have experienced intimate partner</w:t>
      </w:r>
      <w:r w:rsidR="0078738A">
        <w:t xml:space="preserve"> </w:t>
      </w:r>
      <w:r>
        <w:t>violence</w:t>
      </w:r>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78738A">
        <w:t xml:space="preserve">y &amp; Theoretical Orientation: An </w:t>
      </w:r>
      <w:r>
        <w:t>inter</w:t>
      </w:r>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w:t>
      </w:r>
      <w:proofErr w:type="gramStart"/>
      <w:r>
        <w:rPr>
          <w:rFonts w:ascii="Calibri" w:hAnsi="Calibri"/>
        </w:rPr>
        <w:t>in  alcoholism</w:t>
      </w:r>
      <w:proofErr w:type="gramEnd"/>
      <w:r>
        <w:rPr>
          <w:rFonts w:ascii="Calibri" w:hAnsi="Calibri"/>
        </w:rPr>
        <w:t xml:space="preserve">: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rsidR="00AE3E37" w:rsidRPr="00D62425" w:rsidRDefault="00D62425">
      <w:pPr>
        <w:pStyle w:val="BodyText"/>
        <w:rPr>
          <w:rFonts w:ascii="Calibri"/>
          <w:b/>
          <w:sz w:val="20"/>
        </w:rPr>
      </w:pPr>
      <w:r>
        <w:rPr>
          <w:rFonts w:ascii="Calibri"/>
          <w:sz w:val="20"/>
        </w:rPr>
        <w:lastRenderedPageBreak/>
        <w:t xml:space="preserve">                 </w:t>
      </w:r>
      <w:r w:rsidRPr="00D62425">
        <w:rPr>
          <w:rFonts w:ascii="Calibri"/>
          <w:b/>
          <w:sz w:val="20"/>
        </w:rPr>
        <w:t>Photograph</w:t>
      </w: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8756E6" w:rsidP="00404E5B">
      <w:pPr>
        <w:spacing w:before="92"/>
        <w:ind w:right="4234"/>
        <w:rPr>
          <w:rFonts w:ascii="Arial"/>
        </w:rPr>
      </w:pPr>
      <w:r>
        <w:rPr>
          <w:noProof/>
        </w:rPr>
        <w:t xml:space="preserve">              </w:t>
      </w:r>
      <w:r>
        <w:rPr>
          <w:noProof/>
          <w:lang w:val="en-IN" w:eastAsia="en-IN"/>
        </w:rPr>
        <w:drawing>
          <wp:inline distT="0" distB="0" distL="0" distR="0" wp14:anchorId="1B650C0E" wp14:editId="0E8C3C7F">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D</w:t>
      </w:r>
      <w:r w:rsidR="0078738A">
        <w:rPr>
          <w:rFonts w:ascii="Arial"/>
          <w:sz w:val="14"/>
        </w:rPr>
        <w:t xml:space="preserve">r </w:t>
      </w:r>
      <w:r>
        <w:rPr>
          <w:rFonts w:ascii="Arial"/>
          <w:sz w:val="14"/>
        </w:rPr>
        <w:t>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proofErr w:type="gramStart"/>
      <w:r>
        <w:rPr>
          <w:rFonts w:ascii="Arial"/>
          <w:sz w:val="14"/>
        </w:rPr>
        <w:t xml:space="preserve">administration </w:t>
      </w:r>
      <w:r w:rsidR="000E2911">
        <w:rPr>
          <w:rFonts w:ascii="Arial"/>
          <w:sz w:val="14"/>
        </w:rPr>
        <w:t xml:space="preserve"> </w:t>
      </w:r>
      <w:r>
        <w:rPr>
          <w:rFonts w:ascii="Arial"/>
          <w:sz w:val="14"/>
        </w:rPr>
        <w:t>both</w:t>
      </w:r>
      <w:proofErr w:type="gramEnd"/>
      <w:r>
        <w:rPr>
          <w:rFonts w:ascii="Arial"/>
          <w:sz w:val="14"/>
        </w:rPr>
        <w:t xml:space="preserve"> in hospital and education institutions. The foundation is based on fourth generation evaluation (Guba&amp;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2" w:history="1">
        <w:r w:rsidR="008756E6" w:rsidRPr="00616076">
          <w:rPr>
            <w:rStyle w:val="Hyperlink"/>
            <w:rFonts w:ascii="Arial"/>
            <w:sz w:val="14"/>
          </w:rPr>
          <w:t>drXXXXXXX@xxxmail.com</w:t>
        </w:r>
      </w:hyperlink>
    </w:p>
    <w:bookmarkStart w:id="0" w:name="_GoBack"/>
    <w:bookmarkEnd w:id="0"/>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36A" w:rsidRDefault="00F8136A">
      <w:r>
        <w:separator/>
      </w:r>
    </w:p>
  </w:endnote>
  <w:endnote w:type="continuationSeparator" w:id="0">
    <w:p w:rsidR="00F8136A" w:rsidRDefault="00F8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3"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36A" w:rsidRDefault="00F8136A">
      <w:r>
        <w:separator/>
      </w:r>
    </w:p>
  </w:footnote>
  <w:footnote w:type="continuationSeparator" w:id="0">
    <w:p w:rsidR="00F8136A" w:rsidRDefault="00F81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880" behindDoc="1" locked="0" layoutInCell="1" allowOverlap="1">
              <wp:simplePos x="0" y="0"/>
              <wp:positionH relativeFrom="page">
                <wp:posOffset>5283200</wp:posOffset>
              </wp:positionH>
              <wp:positionV relativeFrom="page">
                <wp:posOffset>330835</wp:posOffset>
              </wp:positionV>
              <wp:extent cx="1832610" cy="220980"/>
              <wp:effectExtent l="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E2911"/>
    <w:rsid w:val="001263DF"/>
    <w:rsid w:val="001E763C"/>
    <w:rsid w:val="00292ED9"/>
    <w:rsid w:val="00314AFB"/>
    <w:rsid w:val="003B76D9"/>
    <w:rsid w:val="00404E5B"/>
    <w:rsid w:val="00414F7B"/>
    <w:rsid w:val="004355DC"/>
    <w:rsid w:val="004749B4"/>
    <w:rsid w:val="00494130"/>
    <w:rsid w:val="004F3523"/>
    <w:rsid w:val="005973B9"/>
    <w:rsid w:val="005B3A56"/>
    <w:rsid w:val="006060CE"/>
    <w:rsid w:val="0063497F"/>
    <w:rsid w:val="0078738A"/>
    <w:rsid w:val="00873DF0"/>
    <w:rsid w:val="008756E6"/>
    <w:rsid w:val="009B2D44"/>
    <w:rsid w:val="00A07E82"/>
    <w:rsid w:val="00A9710C"/>
    <w:rsid w:val="00AE3E37"/>
    <w:rsid w:val="00B21A57"/>
    <w:rsid w:val="00C33602"/>
    <w:rsid w:val="00CD6F55"/>
    <w:rsid w:val="00D62425"/>
    <w:rsid w:val="00DE3104"/>
    <w:rsid w:val="00F72EEA"/>
    <w:rsid w:val="00F8136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Primary Health Care</cp:lastModifiedBy>
  <cp:revision>4</cp:revision>
  <dcterms:created xsi:type="dcterms:W3CDTF">2016-08-31T13:10:00Z</dcterms:created>
  <dcterms:modified xsi:type="dcterms:W3CDTF">2016-11-09T11:41:00Z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